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Headline: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Material Insecurity and the Foundations of Democratic Participation</w:t>
      </w:r>
    </w:p>
    <w:p w:rsidR="00000000" w:rsidDel="00000000" w:rsidP="00000000" w:rsidRDefault="00000000" w:rsidRPr="00000000" w14:paraId="00000002">
      <w:pPr>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Teaser: </w:t>
      </w:r>
      <w:r w:rsidDel="00000000" w:rsidR="00000000" w:rsidRPr="00000000">
        <w:rPr>
          <w:rFonts w:ascii="Times New Roman" w:cs="Times New Roman" w:eastAsia="Times New Roman" w:hAnsi="Times New Roman"/>
          <w:sz w:val="28"/>
          <w:szCs w:val="28"/>
          <w:rtl w:val="0"/>
        </w:rPr>
        <w:t xml:space="preserve">Democratic participation depends on more than voting rights: people also need material security, practical knowledge, social belonging, and </w:t>
      </w:r>
      <w:r w:rsidDel="00000000" w:rsidR="00000000" w:rsidRPr="00000000">
        <w:rPr>
          <w:rFonts w:ascii="Times New Roman" w:cs="Times New Roman" w:eastAsia="Times New Roman" w:hAnsi="Times New Roman"/>
          <w:sz w:val="28"/>
          <w:szCs w:val="28"/>
          <w:rtl w:val="0"/>
        </w:rPr>
        <w:t xml:space="preserve">a </w:t>
      </w:r>
      <w:r w:rsidDel="00000000" w:rsidR="00000000" w:rsidRPr="00000000">
        <w:rPr>
          <w:rFonts w:ascii="Times New Roman" w:cs="Times New Roman" w:eastAsia="Times New Roman" w:hAnsi="Times New Roman"/>
          <w:sz w:val="28"/>
          <w:szCs w:val="28"/>
          <w:rtl w:val="0"/>
        </w:rPr>
        <w:t xml:space="preserve">sense of agency that human ecology education can help cultivate.</w:t>
      </w:r>
      <w:r w:rsidDel="00000000" w:rsidR="00000000" w:rsidRPr="00000000">
        <w:rPr>
          <w:rtl w:val="0"/>
        </w:rPr>
      </w:r>
    </w:p>
    <w:p w:rsidR="00000000" w:rsidDel="00000000" w:rsidP="00000000" w:rsidRDefault="00000000" w:rsidRPr="00000000" w14:paraId="00000003">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By Sandra Ericson</w:t>
      </w:r>
    </w:p>
    <w:p w:rsidR="00000000" w:rsidDel="00000000" w:rsidP="00000000" w:rsidRDefault="00000000" w:rsidRPr="00000000" w14:paraId="00000004">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Author Bio:</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color w:val="212529"/>
          <w:sz w:val="28"/>
          <w:szCs w:val="28"/>
          <w:highlight w:val="white"/>
          <w:rtl w:val="0"/>
        </w:rPr>
        <w:t xml:space="preserve">Sandra Ericson is an author and retired educator. She chaired the Consumer Arts and Science Department at </w:t>
      </w:r>
      <w:hyperlink r:id="rId6">
        <w:r w:rsidDel="00000000" w:rsidR="00000000" w:rsidRPr="00000000">
          <w:rPr>
            <w:rFonts w:ascii="Times New Roman" w:cs="Times New Roman" w:eastAsia="Times New Roman" w:hAnsi="Times New Roman"/>
            <w:color w:val="1155cc"/>
            <w:sz w:val="28"/>
            <w:szCs w:val="28"/>
            <w:highlight w:val="white"/>
            <w:u w:val="single"/>
            <w:rtl w:val="0"/>
          </w:rPr>
          <w:t xml:space="preserve">City College of San Francisco</w:t>
        </w:r>
      </w:hyperlink>
      <w:r w:rsidDel="00000000" w:rsidR="00000000" w:rsidRPr="00000000">
        <w:rPr>
          <w:rFonts w:ascii="Times New Roman" w:cs="Times New Roman" w:eastAsia="Times New Roman" w:hAnsi="Times New Roman"/>
          <w:color w:val="212529"/>
          <w:sz w:val="28"/>
          <w:szCs w:val="28"/>
          <w:highlight w:val="white"/>
          <w:rtl w:val="0"/>
        </w:rPr>
        <w:t xml:space="preserve"> for nearly three decades. She is a contributor to the </w:t>
      </w:r>
      <w:hyperlink r:id="rId7">
        <w:r w:rsidDel="00000000" w:rsidR="00000000" w:rsidRPr="00000000">
          <w:rPr>
            <w:rFonts w:ascii="Times New Roman" w:cs="Times New Roman" w:eastAsia="Times New Roman" w:hAnsi="Times New Roman"/>
            <w:color w:val="1155cc"/>
            <w:sz w:val="28"/>
            <w:szCs w:val="28"/>
            <w:highlight w:val="white"/>
            <w:u w:val="single"/>
            <w:rtl w:val="0"/>
          </w:rPr>
          <w:t xml:space="preserve">Observatory</w:t>
        </w:r>
      </w:hyperlink>
      <w:r w:rsidDel="00000000" w:rsidR="00000000" w:rsidRPr="00000000">
        <w:rPr>
          <w:rFonts w:ascii="Times New Roman" w:cs="Times New Roman" w:eastAsia="Times New Roman" w:hAnsi="Times New Roman"/>
          <w:color w:val="212529"/>
          <w:sz w:val="28"/>
          <w:szCs w:val="28"/>
          <w:highlight w:val="white"/>
          <w:rtl w:val="0"/>
        </w:rPr>
        <w:t xml:space="preserve">.</w:t>
      </w:r>
      <w:r w:rsidDel="00000000" w:rsidR="00000000" w:rsidRPr="00000000">
        <w:rPr>
          <w:rtl w:val="0"/>
        </w:rPr>
      </w:r>
    </w:p>
    <w:p w:rsidR="00000000" w:rsidDel="00000000" w:rsidP="00000000" w:rsidRDefault="00000000" w:rsidRPr="00000000" w14:paraId="00000005">
      <w:pPr>
        <w:keepNext w:val="0"/>
        <w:keepLines w:val="0"/>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Credit Line: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This article was produced for the </w:t>
      </w:r>
      <w:hyperlink r:id="rId8">
        <w:r w:rsidDel="00000000" w:rsidR="00000000" w:rsidRPr="00000000">
          <w:rPr>
            <w:rFonts w:ascii="Times New Roman" w:cs="Times New Roman" w:eastAsia="Times New Roman" w:hAnsi="Times New Roman"/>
            <w:i w:val="1"/>
            <w:iCs w:val="1"/>
            <w:color w:val="1155cc"/>
            <w:sz w:val="28"/>
            <w:szCs w:val="28"/>
            <w:u w:val="single"/>
            <w:rtl w:val="0"/>
          </w:rPr>
          <w:t xml:space="preserve">Observatory</w:t>
        </w:r>
      </w:hyperlink>
      <w:r w:rsidDel="00000000" w:rsidR="00000000" w:rsidRPr="00000000">
        <w:rPr>
          <w:rFonts w:ascii="Times New Roman" w:cs="Times New Roman" w:eastAsia="Times New Roman" w:hAnsi="Times New Roman"/>
          <w:i w:val="1"/>
          <w:iCs w:val="1"/>
          <w:sz w:val="28"/>
          <w:szCs w:val="28"/>
          <w:rtl w:val="0"/>
        </w:rPr>
        <w:t xml:space="preserve"> by the Independent Media Institute.</w:t>
      </w:r>
    </w:p>
    <w:p w:rsidR="00000000" w:rsidDel="00000000" w:rsidP="00000000" w:rsidRDefault="00000000" w:rsidRPr="00000000" w14:paraId="00000006">
      <w:pPr>
        <w:keepNext w:val="0"/>
        <w:keepLines w:val="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keepNext w:val="0"/>
        <w:keepLines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Tags:</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Education, Economy, Politics, Social Justice, Social Science, Voting Rights, North America/United States of America, Opinion</w:t>
      </w:r>
      <w:r w:rsidDel="00000000" w:rsidR="00000000" w:rsidRPr="00000000">
        <w:rPr>
          <w:rtl w:val="0"/>
        </w:rPr>
      </w:r>
    </w:p>
    <w:p w:rsidR="00000000" w:rsidDel="00000000" w:rsidP="00000000" w:rsidRDefault="00000000" w:rsidRPr="00000000" w14:paraId="00000008">
      <w:pPr>
        <w:spacing w:after="200" w:before="20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9">
      <w:pPr>
        <w:pStyle w:val="Heading2"/>
        <w:keepNext w:val="0"/>
        <w:keepLines w:val="0"/>
        <w:spacing w:after="200" w:before="200" w:lineRule="auto"/>
        <w:rPr/>
      </w:pPr>
      <w:bookmarkStart w:colFirst="0" w:colLast="0" w:name="_sycrviqwfktz" w:id="0"/>
      <w:bookmarkEnd w:id="0"/>
      <w:r w:rsidDel="00000000" w:rsidR="00000000" w:rsidRPr="00000000">
        <w:rPr>
          <w:rtl w:val="0"/>
        </w:rPr>
        <w:t xml:space="preserve">[Article Body:]</w:t>
      </w:r>
    </w:p>
    <w:p w:rsidR="00000000" w:rsidDel="00000000" w:rsidP="00000000" w:rsidRDefault="00000000" w:rsidRPr="00000000" w14:paraId="0000000A">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The Path From Survival to Citizenship</w:t>
      </w:r>
      <w:r w:rsidDel="00000000" w:rsidR="00000000" w:rsidRPr="00000000">
        <w:rPr>
          <w:rtl w:val="0"/>
        </w:rPr>
      </w:r>
    </w:p>
    <w:p w:rsidR="00000000" w:rsidDel="00000000" w:rsidP="00000000" w:rsidRDefault="00000000" w:rsidRPr="00000000" w14:paraId="0000000B">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Access to food, stable housing, healthcare, and socioeconomic security shapes more than daily life. Material insecurity can also limit the time, attention, and stability people need to follow public issues, evaluate candidates, organize, and vote. Research on scarcity and political participation helps</w:t>
      </w:r>
      <w:r w:rsidDel="00000000" w:rsidR="00000000" w:rsidRPr="00000000">
        <w:rPr>
          <w:rFonts w:ascii="Times New Roman" w:cs="Times New Roman" w:eastAsia="Times New Roman" w:hAnsi="Times New Roman"/>
          <w:sz w:val="28"/>
          <w:szCs w:val="28"/>
          <w:rtl w:val="0"/>
        </w:rPr>
        <w:t xml:space="preserve"> </w:t>
      </w:r>
      <w:hyperlink r:id="rId9">
        <w:r w:rsidDel="00000000" w:rsidR="00000000" w:rsidRPr="00000000">
          <w:rPr>
            <w:rFonts w:ascii="Times New Roman" w:cs="Times New Roman" w:eastAsia="Times New Roman" w:hAnsi="Times New Roman"/>
            <w:color w:val="1155cc"/>
            <w:sz w:val="28"/>
            <w:szCs w:val="28"/>
            <w:u w:val="single"/>
            <w:rtl w:val="0"/>
          </w:rPr>
          <w:t xml:space="preserve">explain these connections</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00C">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a 2014 </w:t>
      </w:r>
      <w:hyperlink r:id="rId10">
        <w:r w:rsidDel="00000000" w:rsidR="00000000" w:rsidRPr="00000000">
          <w:rPr>
            <w:rFonts w:ascii="Times New Roman" w:cs="Times New Roman" w:eastAsia="Times New Roman" w:hAnsi="Times New Roman"/>
            <w:color w:val="1155cc"/>
            <w:sz w:val="28"/>
            <w:szCs w:val="28"/>
            <w:u w:val="single"/>
            <w:rtl w:val="0"/>
          </w:rPr>
          <w:t xml:space="preserve">American Psychological Association</w:t>
        </w:r>
      </w:hyperlink>
      <w:r w:rsidDel="00000000" w:rsidR="00000000" w:rsidRPr="00000000">
        <w:rPr>
          <w:rFonts w:ascii="Times New Roman" w:cs="Times New Roman" w:eastAsia="Times New Roman" w:hAnsi="Times New Roman"/>
          <w:sz w:val="28"/>
          <w:szCs w:val="28"/>
          <w:rtl w:val="0"/>
        </w:rPr>
        <w:t xml:space="preserve"> article, the authors of the book </w:t>
      </w:r>
      <w:r w:rsidDel="00000000" w:rsidR="00000000" w:rsidRPr="00000000">
        <w:rPr>
          <w:rFonts w:ascii="Times New Roman" w:cs="Times New Roman" w:eastAsia="Times New Roman" w:hAnsi="Times New Roman"/>
          <w:i w:val="1"/>
          <w:iCs w:val="1"/>
          <w:sz w:val="28"/>
          <w:szCs w:val="28"/>
          <w:rtl w:val="0"/>
        </w:rPr>
        <w:t xml:space="preserve">Scarcity: Why Having Too Little Means So Much</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Eldar Shafir and Sendhil Mullainathan, suggest that scarcity consumes mental bandwidth, leaving fewer cognitive resources for planning and problem-solving. The </w:t>
      </w:r>
      <w:r w:rsidDel="00000000" w:rsidR="00000000" w:rsidRPr="00000000">
        <w:rPr>
          <w:rFonts w:ascii="Times New Roman" w:cs="Times New Roman" w:eastAsia="Times New Roman" w:hAnsi="Times New Roman"/>
          <w:sz w:val="28"/>
          <w:szCs w:val="28"/>
          <w:rtl w:val="0"/>
        </w:rPr>
        <w:t xml:space="preserve">article </w:t>
      </w:r>
      <w:r w:rsidDel="00000000" w:rsidR="00000000" w:rsidRPr="00000000">
        <w:rPr>
          <w:rFonts w:ascii="Times New Roman" w:cs="Times New Roman" w:eastAsia="Times New Roman" w:hAnsi="Times New Roman"/>
          <w:sz w:val="28"/>
          <w:szCs w:val="28"/>
          <w:rtl w:val="0"/>
        </w:rPr>
        <w:t xml:space="preserve">reports that this cognitive burden can produce ongoing deficits and reinforce self-defeating behavior.</w:t>
      </w:r>
    </w:p>
    <w:p w:rsidR="00000000" w:rsidDel="00000000" w:rsidP="00000000" w:rsidRDefault="00000000" w:rsidRPr="00000000" w14:paraId="0000000D">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These pressures do not make people deficient citizens. They can, however, make civic participation harder</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Legal citizenship and voting rights do not ensure that everyone has an equal capacity to participate. </w:t>
      </w:r>
      <w:r w:rsidDel="00000000" w:rsidR="00000000" w:rsidRPr="00000000">
        <w:rPr>
          <w:rFonts w:ascii="Times New Roman" w:cs="Times New Roman" w:eastAsia="Times New Roman" w:hAnsi="Times New Roman"/>
          <w:sz w:val="28"/>
          <w:szCs w:val="28"/>
          <w:rtl w:val="0"/>
        </w:rPr>
        <w:t xml:space="preserve">Voting </w:t>
      </w:r>
      <w:hyperlink r:id="rId11">
        <w:r w:rsidDel="00000000" w:rsidR="00000000" w:rsidRPr="00000000">
          <w:rPr>
            <w:rFonts w:ascii="Times New Roman" w:cs="Times New Roman" w:eastAsia="Times New Roman" w:hAnsi="Times New Roman"/>
            <w:color w:val="1155cc"/>
            <w:sz w:val="28"/>
            <w:szCs w:val="28"/>
            <w:u w:val="single"/>
            <w:rtl w:val="0"/>
          </w:rPr>
          <w:t xml:space="preserve">requires</w:t>
        </w:r>
      </w:hyperlink>
      <w:r w:rsidDel="00000000" w:rsidR="00000000" w:rsidRPr="00000000">
        <w:rPr>
          <w:rFonts w:ascii="Times New Roman" w:cs="Times New Roman" w:eastAsia="Times New Roman" w:hAnsi="Times New Roman"/>
          <w:sz w:val="28"/>
          <w:szCs w:val="28"/>
          <w:rtl w:val="0"/>
        </w:rPr>
        <w:t xml:space="preserve"> time, information, skills, health, and transportation. Unequal access to resources affects</w:t>
      </w:r>
      <w:r w:rsidDel="00000000" w:rsidR="00000000" w:rsidRPr="00000000">
        <w:rPr>
          <w:rFonts w:ascii="Times New Roman" w:cs="Times New Roman" w:eastAsia="Times New Roman" w:hAnsi="Times New Roman"/>
          <w:sz w:val="28"/>
          <w:szCs w:val="28"/>
          <w:rtl w:val="0"/>
        </w:rPr>
        <w:t xml:space="preserve"> civic participation, which also </w:t>
      </w:r>
      <w:hyperlink r:id="rId12">
        <w:r w:rsidDel="00000000" w:rsidR="00000000" w:rsidRPr="00000000">
          <w:rPr>
            <w:rFonts w:ascii="Times New Roman" w:cs="Times New Roman" w:eastAsia="Times New Roman" w:hAnsi="Times New Roman"/>
            <w:color w:val="1155cc"/>
            <w:sz w:val="28"/>
            <w:szCs w:val="28"/>
            <w:u w:val="single"/>
            <w:rtl w:val="0"/>
          </w:rPr>
          <w:t xml:space="preserve">depends</w:t>
        </w:r>
      </w:hyperlink>
      <w:r w:rsidDel="00000000" w:rsidR="00000000" w:rsidRPr="00000000">
        <w:rPr>
          <w:rFonts w:ascii="Times New Roman" w:cs="Times New Roman" w:eastAsia="Times New Roman" w:hAnsi="Times New Roman"/>
          <w:sz w:val="28"/>
          <w:szCs w:val="28"/>
          <w:rtl w:val="0"/>
        </w:rPr>
        <w:t xml:space="preserve"> on income, education, and an individual’s stability. Disparities in</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participation can, in turn, produce unequal political representation.</w:t>
      </w:r>
    </w:p>
    <w:p w:rsidR="00000000" w:rsidDel="00000000" w:rsidP="00000000" w:rsidRDefault="00000000" w:rsidRPr="00000000" w14:paraId="0000000E">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Human ecology education raises a related question: whether practical knowledge can help people navigate the systems shaping daily life and participate more meaningfully in their communities.</w:t>
      </w: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Scarcity and the Taxing of Bandwidth</w:t>
      </w:r>
      <w:r w:rsidDel="00000000" w:rsidR="00000000" w:rsidRPr="00000000">
        <w:rPr>
          <w:rtl w:val="0"/>
        </w:rPr>
      </w:r>
    </w:p>
    <w:p w:rsidR="00000000" w:rsidDel="00000000" w:rsidP="00000000" w:rsidRDefault="00000000" w:rsidRPr="00000000" w14:paraId="00000010">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2024 </w:t>
      </w:r>
      <w:hyperlink r:id="rId13">
        <w:r w:rsidDel="00000000" w:rsidR="00000000" w:rsidRPr="00000000">
          <w:rPr>
            <w:rFonts w:ascii="Times New Roman" w:cs="Times New Roman" w:eastAsia="Times New Roman" w:hAnsi="Times New Roman"/>
            <w:color w:val="1155cc"/>
            <w:sz w:val="28"/>
            <w:szCs w:val="28"/>
            <w:u w:val="single"/>
            <w:rtl w:val="0"/>
          </w:rPr>
          <w:t xml:space="preserve">article</w:t>
        </w:r>
      </w:hyperlink>
      <w:r w:rsidDel="00000000" w:rsidR="00000000" w:rsidRPr="00000000">
        <w:rPr>
          <w:rFonts w:ascii="Times New Roman" w:cs="Times New Roman" w:eastAsia="Times New Roman" w:hAnsi="Times New Roman"/>
          <w:sz w:val="28"/>
          <w:szCs w:val="28"/>
          <w:rtl w:val="0"/>
        </w:rPr>
        <w:t xml:space="preserve"> in the journal </w:t>
      </w:r>
      <w:r w:rsidDel="00000000" w:rsidR="00000000" w:rsidRPr="00000000">
        <w:rPr>
          <w:rFonts w:ascii="Times New Roman" w:cs="Times New Roman" w:eastAsia="Times New Roman" w:hAnsi="Times New Roman"/>
          <w:i w:val="1"/>
          <w:iCs w:val="1"/>
          <w:sz w:val="28"/>
          <w:szCs w:val="28"/>
          <w:rtl w:val="0"/>
        </w:rPr>
        <w:t xml:space="preserve">Political Behavior</w:t>
      </w:r>
      <w:r w:rsidDel="00000000" w:rsidR="00000000" w:rsidRPr="00000000">
        <w:rPr>
          <w:rFonts w:ascii="Times New Roman" w:cs="Times New Roman" w:eastAsia="Times New Roman" w:hAnsi="Times New Roman"/>
          <w:sz w:val="28"/>
          <w:szCs w:val="28"/>
          <w:rtl w:val="0"/>
        </w:rPr>
        <w:t xml:space="preserve"> examines how unemployment, eviction, loss of health insurance, and other personal crises affect political participation. Although people experience these disruptions personally, the authors argue that their causes and consequences are also political.</w:t>
      </w:r>
    </w:p>
    <w:p w:rsidR="00000000" w:rsidDel="00000000" w:rsidP="00000000" w:rsidRDefault="00000000" w:rsidRPr="00000000" w14:paraId="00000011">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Across several large surveys, the researchers found that personal crises were generally associated with lower turnout but sometimes with greater participation in other political activities. Highly politicized crises, including those related to COVID-19, were associated with greater participation across all forms measured in the study. As crises accumulated, the associated decline in turnout approached the size of established gaps by race, ethnicity, and education.</w:t>
      </w:r>
    </w:p>
    <w:p w:rsidR="00000000" w:rsidDel="00000000" w:rsidP="00000000" w:rsidRDefault="00000000" w:rsidRPr="00000000" w14:paraId="00000012">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Residential mobility can also disrupt civic ties. In the five-city Moving to Opportunity experiment, some families living in high-poverty public housing were offered vouchers to move to lower-poverty neighborhoods. A 2024 </w:t>
      </w:r>
      <w:hyperlink r:id="rId14">
        <w:r w:rsidDel="00000000" w:rsidR="00000000" w:rsidRPr="00000000">
          <w:rPr>
            <w:rFonts w:ascii="Times New Roman" w:cs="Times New Roman" w:eastAsia="Times New Roman" w:hAnsi="Times New Roman"/>
            <w:color w:val="1155cc"/>
            <w:sz w:val="28"/>
            <w:szCs w:val="28"/>
            <w:u w:val="single"/>
            <w:rtl w:val="0"/>
          </w:rPr>
          <w:t xml:space="preserve">article</w:t>
        </w:r>
      </w:hyperlink>
      <w:r w:rsidDel="00000000" w:rsidR="00000000" w:rsidRPr="00000000">
        <w:rPr>
          <w:rFonts w:ascii="Times New Roman" w:cs="Times New Roman" w:eastAsia="Times New Roman" w:hAnsi="Times New Roman"/>
          <w:sz w:val="28"/>
          <w:szCs w:val="28"/>
          <w:rtl w:val="0"/>
        </w:rPr>
        <w:t xml:space="preserve"> in the </w:t>
      </w:r>
      <w:r w:rsidDel="00000000" w:rsidR="00000000" w:rsidRPr="00000000">
        <w:rPr>
          <w:rFonts w:ascii="Times New Roman" w:cs="Times New Roman" w:eastAsia="Times New Roman" w:hAnsi="Times New Roman"/>
          <w:i w:val="1"/>
          <w:iCs w:val="1"/>
          <w:sz w:val="28"/>
          <w:szCs w:val="28"/>
          <w:rtl w:val="0"/>
        </w:rPr>
        <w:t xml:space="preserve">Proceedings of the National Academy of Sciences</w:t>
      </w:r>
      <w:r w:rsidDel="00000000" w:rsidR="00000000" w:rsidRPr="00000000">
        <w:rPr>
          <w:rFonts w:ascii="Times New Roman" w:cs="Times New Roman" w:eastAsia="Times New Roman" w:hAnsi="Times New Roman"/>
          <w:sz w:val="28"/>
          <w:szCs w:val="28"/>
          <w:rtl w:val="0"/>
        </w:rPr>
        <w:t xml:space="preserve"> found that adults assigned vouchers voted at lower rates for nearly two decades. The researchers attribute the decline to residential mobility itself, noting that moving can disrupt social ties and require people to register again.</w:t>
      </w:r>
    </w:p>
    <w:p w:rsidR="00000000" w:rsidDel="00000000" w:rsidP="00000000" w:rsidRDefault="00000000" w:rsidRPr="00000000" w14:paraId="00000013">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The Hierarchy of Human Needs Provides the Track</w:t>
      </w:r>
      <w:r w:rsidDel="00000000" w:rsidR="00000000" w:rsidRPr="00000000">
        <w:rPr>
          <w:rtl w:val="0"/>
        </w:rPr>
      </w:r>
    </w:p>
    <w:p w:rsidR="00000000" w:rsidDel="00000000" w:rsidP="00000000" w:rsidRDefault="00000000" w:rsidRPr="00000000" w14:paraId="00000014">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Various psychological theories provide context for how material insecurity can influence political behavior. Abraham Maslow’s 1943 </w:t>
      </w:r>
      <w:hyperlink r:id="rId15">
        <w:r w:rsidDel="00000000" w:rsidR="00000000" w:rsidRPr="00000000">
          <w:rPr>
            <w:rFonts w:ascii="Times New Roman" w:cs="Times New Roman" w:eastAsia="Times New Roman" w:hAnsi="Times New Roman"/>
            <w:color w:val="1155cc"/>
            <w:sz w:val="28"/>
            <w:szCs w:val="28"/>
            <w:u w:val="single"/>
            <w:rtl w:val="0"/>
          </w:rPr>
          <w:t xml:space="preserve">theory of human motivation</w:t>
        </w:r>
      </w:hyperlink>
      <w:r w:rsidDel="00000000" w:rsidR="00000000" w:rsidRPr="00000000">
        <w:rPr>
          <w:rFonts w:ascii="Times New Roman" w:cs="Times New Roman" w:eastAsia="Times New Roman" w:hAnsi="Times New Roman"/>
          <w:sz w:val="28"/>
          <w:szCs w:val="28"/>
          <w:rtl w:val="0"/>
        </w:rPr>
        <w:t xml:space="preserve"> offers a familiar framework, commonly called the hierarchy of human needs, for considering how unmet needs can compete for attention. It identifies physiological needs, safety, belonging, esteem, and self-actualization as basic needs, but they should not be treated as a universal sequence or as indicators for how a person engages with the political process. </w:t>
      </w:r>
      <w:r w:rsidDel="00000000" w:rsidR="00000000" w:rsidRPr="00000000">
        <w:rPr>
          <w:rFonts w:ascii="Times New Roman" w:cs="Times New Roman" w:eastAsia="Times New Roman" w:hAnsi="Times New Roman"/>
          <w:sz w:val="28"/>
          <w:szCs w:val="28"/>
          <w:rtl w:val="0"/>
        </w:rPr>
        <w:t xml:space="preserve">For this article</w:t>
      </w:r>
      <w:r w:rsidDel="00000000" w:rsidR="00000000" w:rsidRPr="00000000">
        <w:rPr>
          <w:rFonts w:ascii="Times New Roman" w:cs="Times New Roman" w:eastAsia="Times New Roman" w:hAnsi="Times New Roman"/>
          <w:sz w:val="28"/>
          <w:szCs w:val="28"/>
          <w:rtl w:val="0"/>
        </w:rPr>
        <w:t xml:space="preserve">, it serves only as a bridge to explain the relationship among material security, personal agency, and civic participation.</w:t>
      </w: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Self-Efficacy as the Engine of Agency</w:t>
      </w:r>
    </w:p>
    <w:p w:rsidR="00000000" w:rsidDel="00000000" w:rsidP="00000000" w:rsidRDefault="00000000" w:rsidRPr="00000000" w14:paraId="00000016">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Psychologist Albert Bandura </w:t>
      </w:r>
      <w:hyperlink r:id="rId16">
        <w:r w:rsidDel="00000000" w:rsidR="00000000" w:rsidRPr="00000000">
          <w:rPr>
            <w:rFonts w:ascii="Times New Roman" w:cs="Times New Roman" w:eastAsia="Times New Roman" w:hAnsi="Times New Roman"/>
            <w:color w:val="1155cc"/>
            <w:sz w:val="28"/>
            <w:szCs w:val="28"/>
            <w:u w:val="single"/>
            <w:rtl w:val="0"/>
          </w:rPr>
          <w:t xml:space="preserve">defined self-efficacy</w:t>
        </w:r>
      </w:hyperlink>
      <w:r w:rsidDel="00000000" w:rsidR="00000000" w:rsidRPr="00000000">
        <w:rPr>
          <w:rFonts w:ascii="Times New Roman" w:cs="Times New Roman" w:eastAsia="Times New Roman" w:hAnsi="Times New Roman"/>
          <w:sz w:val="28"/>
          <w:szCs w:val="28"/>
          <w:rtl w:val="0"/>
        </w:rPr>
        <w:t xml:space="preserve"> as a person’s belief in their capacity to act toward a desired outcome. He identified four principal sources: mastery experiences, vicarious experiences, social persuasion, and physiological and emotional states. Insecurity involving food, housing, healthcare, income, or physical safety may weaken these foundations by limiting opportunities for successful action, increasing chronic stress, and reducing access to supportive models and encouragement.</w:t>
      </w:r>
      <w:r w:rsidDel="00000000" w:rsidR="00000000" w:rsidRPr="00000000">
        <w:rPr>
          <w:rtl w:val="0"/>
        </w:rPr>
      </w:r>
    </w:p>
    <w:p w:rsidR="00000000" w:rsidDel="00000000" w:rsidP="00000000" w:rsidRDefault="00000000" w:rsidRPr="00000000" w14:paraId="00000017">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Political efficacy has </w:t>
      </w:r>
      <w:hyperlink r:id="rId17">
        <w:r w:rsidDel="00000000" w:rsidR="00000000" w:rsidRPr="00000000">
          <w:rPr>
            <w:rFonts w:ascii="Times New Roman" w:cs="Times New Roman" w:eastAsia="Times New Roman" w:hAnsi="Times New Roman"/>
            <w:color w:val="1155cc"/>
            <w:sz w:val="28"/>
            <w:szCs w:val="28"/>
            <w:u w:val="single"/>
            <w:rtl w:val="0"/>
          </w:rPr>
          <w:t xml:space="preserve">two components</w:t>
        </w:r>
      </w:hyperlink>
      <w:r w:rsidDel="00000000" w:rsidR="00000000" w:rsidRPr="00000000">
        <w:rPr>
          <w:rFonts w:ascii="Times New Roman" w:cs="Times New Roman" w:eastAsia="Times New Roman" w:hAnsi="Times New Roman"/>
          <w:sz w:val="28"/>
          <w:szCs w:val="28"/>
          <w:rtl w:val="0"/>
        </w:rPr>
        <w:t xml:space="preserve">: internal and external efficacy</w:t>
      </w:r>
      <w:r w:rsidDel="00000000" w:rsidR="00000000" w:rsidRPr="00000000">
        <w:rPr>
          <w:rFonts w:ascii="Times New Roman" w:cs="Times New Roman" w:eastAsia="Times New Roman" w:hAnsi="Times New Roman"/>
          <w:sz w:val="28"/>
          <w:szCs w:val="28"/>
          <w:rtl w:val="0"/>
        </w:rPr>
        <w:t xml:space="preserve">. Internal efficacy is the belief that one can understand and participate in politics; external efficacy is the belief that the political system responds to citizens. </w:t>
      </w:r>
      <w:hyperlink r:id="rId18">
        <w:r w:rsidDel="00000000" w:rsidR="00000000" w:rsidRPr="00000000">
          <w:rPr>
            <w:rFonts w:ascii="Times New Roman" w:cs="Times New Roman" w:eastAsia="Times New Roman" w:hAnsi="Times New Roman"/>
            <w:color w:val="1155cc"/>
            <w:sz w:val="28"/>
            <w:szCs w:val="28"/>
            <w:u w:val="single"/>
            <w:rtl w:val="0"/>
          </w:rPr>
          <w:t xml:space="preserve">Both are associated with political participation</w:t>
        </w:r>
      </w:hyperlink>
      <w:r w:rsidDel="00000000" w:rsidR="00000000" w:rsidRPr="00000000">
        <w:rPr>
          <w:rFonts w:ascii="Times New Roman" w:cs="Times New Roman" w:eastAsia="Times New Roman" w:hAnsi="Times New Roman"/>
          <w:sz w:val="28"/>
          <w:szCs w:val="28"/>
          <w:rtl w:val="0"/>
        </w:rPr>
        <w:t xml:space="preserve">, although the relationship is stronger for internal efficacy. Successful political </w:t>
      </w:r>
      <w:r w:rsidDel="00000000" w:rsidR="00000000" w:rsidRPr="00000000">
        <w:rPr>
          <w:rFonts w:ascii="Times New Roman" w:cs="Times New Roman" w:eastAsia="Times New Roman" w:hAnsi="Times New Roman"/>
          <w:sz w:val="28"/>
          <w:szCs w:val="28"/>
          <w:rtl w:val="0"/>
        </w:rPr>
        <w:t xml:space="preserve">participation</w:t>
      </w:r>
      <w:r w:rsidDel="00000000" w:rsidR="00000000" w:rsidRPr="00000000">
        <w:rPr>
          <w:rFonts w:ascii="Times New Roman" w:cs="Times New Roman" w:eastAsia="Times New Roman" w:hAnsi="Times New Roman"/>
          <w:sz w:val="28"/>
          <w:szCs w:val="28"/>
          <w:rtl w:val="0"/>
        </w:rPr>
        <w:t xml:space="preserve"> may strengthen confidence in one’s ability to engage. When people participate but see no institutional response, they may begin to doubt that participation matters and withdraw.</w:t>
      </w:r>
    </w:p>
    <w:p w:rsidR="00000000" w:rsidDel="00000000" w:rsidP="00000000" w:rsidRDefault="00000000" w:rsidRPr="00000000" w14:paraId="00000018">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How Human Ecology Education Can Develop Across the School Years</w:t>
      </w:r>
    </w:p>
    <w:p w:rsidR="00000000" w:rsidDel="00000000" w:rsidP="00000000" w:rsidRDefault="00000000" w:rsidRPr="00000000" w14:paraId="00000019">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Human ecology education is an interdisciplinary approach to understanding how people live within—and navigate—the natural, social, cultural, built, and technological environments that shape daily life. It connects practical knowledge about food, housing, health, finance, transportation, relationships, and community life with the institutions and systems people navigate to meet those needs.</w:t>
      </w:r>
    </w:p>
    <w:p w:rsidR="00000000" w:rsidDel="00000000" w:rsidP="00000000" w:rsidRDefault="00000000" w:rsidRPr="00000000" w14:paraId="0000001A">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Human ecology grew partly from home economics, which combined scientific research with public education about food, health, housing, and family life. Home economists at universities, extension services, and government agencies </w:t>
      </w:r>
      <w:hyperlink r:id="rId19">
        <w:r w:rsidDel="00000000" w:rsidR="00000000" w:rsidRPr="00000000">
          <w:rPr>
            <w:rFonts w:ascii="Times New Roman" w:cs="Times New Roman" w:eastAsia="Times New Roman" w:hAnsi="Times New Roman"/>
            <w:color w:val="1155cc"/>
            <w:sz w:val="28"/>
            <w:szCs w:val="28"/>
            <w:u w:val="single"/>
            <w:rtl w:val="0"/>
          </w:rPr>
          <w:t xml:space="preserve">carried this work</w:t>
        </w:r>
      </w:hyperlink>
      <w:r w:rsidDel="00000000" w:rsidR="00000000" w:rsidRPr="00000000">
        <w:rPr>
          <w:rFonts w:ascii="Times New Roman" w:cs="Times New Roman" w:eastAsia="Times New Roman" w:hAnsi="Times New Roman"/>
          <w:sz w:val="28"/>
          <w:szCs w:val="28"/>
          <w:rtl w:val="0"/>
        </w:rPr>
        <w:t xml:space="preserve"> through </w:t>
      </w:r>
      <w:r w:rsidDel="00000000" w:rsidR="00000000" w:rsidRPr="00000000">
        <w:rPr>
          <w:rFonts w:ascii="Times New Roman" w:cs="Times New Roman" w:eastAsia="Times New Roman" w:hAnsi="Times New Roman"/>
          <w:sz w:val="28"/>
          <w:szCs w:val="28"/>
          <w:rtl w:val="0"/>
        </w:rPr>
        <w:t xml:space="preserve">World War I, the Great Depression, and World War II</w:t>
      </w:r>
      <w:r w:rsidDel="00000000" w:rsidR="00000000" w:rsidRPr="00000000">
        <w:rPr>
          <w:rFonts w:ascii="Times New Roman" w:cs="Times New Roman" w:eastAsia="Times New Roman" w:hAnsi="Times New Roman"/>
          <w:sz w:val="28"/>
          <w:szCs w:val="28"/>
          <w:rtl w:val="0"/>
        </w:rPr>
        <w:t xml:space="preserve">. </w:t>
      </w:r>
      <w:hyperlink r:id="rId20">
        <w:r w:rsidDel="00000000" w:rsidR="00000000" w:rsidRPr="00000000">
          <w:rPr>
            <w:rFonts w:ascii="Times New Roman" w:cs="Times New Roman" w:eastAsia="Times New Roman" w:hAnsi="Times New Roman"/>
            <w:color w:val="1155cc"/>
            <w:sz w:val="28"/>
            <w:szCs w:val="28"/>
            <w:u w:val="single"/>
            <w:rtl w:val="0"/>
          </w:rPr>
          <w:t xml:space="preserve">Cornell played a significant role</w:t>
        </w:r>
      </w:hyperlink>
      <w:r w:rsidDel="00000000" w:rsidR="00000000" w:rsidRPr="00000000">
        <w:rPr>
          <w:rFonts w:ascii="Times New Roman" w:cs="Times New Roman" w:eastAsia="Times New Roman" w:hAnsi="Times New Roman"/>
          <w:sz w:val="28"/>
          <w:szCs w:val="28"/>
          <w:rtl w:val="0"/>
        </w:rPr>
        <w:t xml:space="preserve">, establishing the New York State College of Home Economics in 1925; it was renamed the New York State College of Human Ecology in 1969 as its academic scope broadened.</w:t>
      </w:r>
    </w:p>
    <w:p w:rsidR="00000000" w:rsidDel="00000000" w:rsidP="00000000" w:rsidRDefault="00000000" w:rsidRPr="00000000" w14:paraId="0000001B">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Civics education generally focuses on government and citizenship, while career education prepares students for employment. Human ecology complements both by connecting personal, professional, and civic life to the public systems and markets that shape everyday decisions. A continuous K–12 program can </w:t>
      </w:r>
      <w:hyperlink r:id="rId21">
        <w:r w:rsidDel="00000000" w:rsidR="00000000" w:rsidRPr="00000000">
          <w:rPr>
            <w:rFonts w:ascii="Times New Roman" w:cs="Times New Roman" w:eastAsia="Times New Roman" w:hAnsi="Times New Roman"/>
            <w:color w:val="1155cc"/>
            <w:sz w:val="28"/>
            <w:szCs w:val="28"/>
            <w:u w:val="single"/>
            <w:rtl w:val="0"/>
          </w:rPr>
          <w:t xml:space="preserve">deepen</w:t>
        </w:r>
      </w:hyperlink>
      <w:r w:rsidDel="00000000" w:rsidR="00000000" w:rsidRPr="00000000">
        <w:rPr>
          <w:rFonts w:ascii="Times New Roman" w:cs="Times New Roman" w:eastAsia="Times New Roman" w:hAnsi="Times New Roman"/>
          <w:sz w:val="28"/>
          <w:szCs w:val="28"/>
          <w:rtl w:val="0"/>
        </w:rPr>
        <w:t xml:space="preserve"> that understanding as students mature and their lives become more complex.</w:t>
      </w:r>
    </w:p>
    <w:p w:rsidR="00000000" w:rsidDel="00000000" w:rsidP="00000000" w:rsidRDefault="00000000" w:rsidRPr="00000000" w14:paraId="0000001C">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Maslow’s categories can help organize a human ecology curriculum without assigning children to fixed developmental tiers. The curriculum would expand as students gain independence and encounter more complex relationships, institutions, and responsibilities.</w:t>
      </w:r>
    </w:p>
    <w:p w:rsidR="00000000" w:rsidDel="00000000" w:rsidP="00000000" w:rsidRDefault="00000000" w:rsidRPr="00000000" w14:paraId="0000001D">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Early Years: Food, Health, and Home</w:t>
      </w:r>
      <w:r w:rsidDel="00000000" w:rsidR="00000000" w:rsidRPr="00000000">
        <w:rPr>
          <w:rtl w:val="0"/>
        </w:rPr>
      </w:r>
    </w:p>
    <w:p w:rsidR="00000000" w:rsidDel="00000000" w:rsidP="00000000" w:rsidRDefault="00000000" w:rsidRPr="00000000" w14:paraId="0000001E">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the early grades, a human ecology curriculum can examine food, clothing, housing, health, safety, and household routines. Lessons can introduce where essential resources come from, how daily choices affect personal and environmental well-being, and which community institutions help people meet basic needs. The purpose would be to build practical awareness—not hold children responsible for conditions beyond their control.</w:t>
      </w:r>
      <w:r w:rsidDel="00000000" w:rsidR="00000000" w:rsidRPr="00000000">
        <w:rPr>
          <w:rtl w:val="0"/>
        </w:rPr>
      </w:r>
    </w:p>
    <w:p w:rsidR="00000000" w:rsidDel="00000000" w:rsidP="00000000" w:rsidRDefault="00000000" w:rsidRPr="00000000" w14:paraId="0000001F">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Middle Years: Relationships and Community</w:t>
      </w:r>
      <w:r w:rsidDel="00000000" w:rsidR="00000000" w:rsidRPr="00000000">
        <w:rPr>
          <w:rtl w:val="0"/>
        </w:rPr>
      </w:r>
    </w:p>
    <w:p w:rsidR="00000000" w:rsidDel="00000000" w:rsidP="00000000" w:rsidRDefault="00000000" w:rsidRPr="00000000" w14:paraId="00000020">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students’ social worlds become more complex, human ecology education can explore communication, culture, relationships, transportation, public health, and community life. Students can learn how families and communities use shared systems, resolve problems, and create belonging across differences.</w:t>
      </w:r>
    </w:p>
    <w:p w:rsidR="00000000" w:rsidDel="00000000" w:rsidP="00000000" w:rsidRDefault="00000000" w:rsidRPr="00000000" w14:paraId="00000021">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Adolescence: Independent Life and Civic Participation</w:t>
      </w:r>
      <w:r w:rsidDel="00000000" w:rsidR="00000000" w:rsidRPr="00000000">
        <w:rPr>
          <w:rtl w:val="0"/>
        </w:rPr>
      </w:r>
    </w:p>
    <w:p w:rsidR="00000000" w:rsidDel="00000000" w:rsidP="00000000" w:rsidRDefault="00000000" w:rsidRPr="00000000" w14:paraId="00000022">
      <w:pPr>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By adolescence, the curriculum can address income, employment, personal finance, housing, healthcare, law, consumer systems, and public institutions. Students can connect daily decisions to career possibilities and public policy while practicing the judgment, communication, and social skills needed to participate in professional and community life.</w:t>
      </w: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Material Security and Voter Participation</w:t>
      </w:r>
    </w:p>
    <w:p w:rsidR="00000000" w:rsidDel="00000000" w:rsidP="00000000" w:rsidRDefault="00000000" w:rsidRPr="00000000" w14:paraId="00000024">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Human ecology education can strengthen the practical knowledge people use to navigate daily life. Whether that knowledge supports civic participation also depends on material security and responsive institutions.</w:t>
      </w:r>
    </w:p>
    <w:p w:rsidR="00000000" w:rsidDel="00000000" w:rsidP="00000000" w:rsidRDefault="00000000" w:rsidRPr="00000000" w14:paraId="00000025">
      <w:pPr>
        <w:spacing w:after="200" w:before="200" w:lineRule="auto"/>
        <w:rPr>
          <w:rFonts w:ascii="Times New Roman" w:cs="Times New Roman" w:eastAsia="Times New Roman" w:hAnsi="Times New Roman"/>
          <w:sz w:val="28"/>
          <w:szCs w:val="28"/>
        </w:rPr>
      </w:pPr>
      <w:hyperlink r:id="rId22">
        <w:r w:rsidDel="00000000" w:rsidR="00000000" w:rsidRPr="00000000">
          <w:rPr>
            <w:rFonts w:ascii="Times New Roman" w:cs="Times New Roman" w:eastAsia="Times New Roman" w:hAnsi="Times New Roman"/>
            <w:color w:val="1155cc"/>
            <w:sz w:val="28"/>
            <w:szCs w:val="28"/>
            <w:u w:val="single"/>
            <w:rtl w:val="0"/>
          </w:rPr>
          <w:t xml:space="preserve">US Census Bureau data</w:t>
        </w:r>
      </w:hyperlink>
      <w:r w:rsidDel="00000000" w:rsidR="00000000" w:rsidRPr="00000000">
        <w:rPr>
          <w:rFonts w:ascii="Times New Roman" w:cs="Times New Roman" w:eastAsia="Times New Roman" w:hAnsi="Times New Roman"/>
          <w:sz w:val="28"/>
          <w:szCs w:val="28"/>
          <w:rtl w:val="0"/>
        </w:rPr>
        <w:t xml:space="preserve"> show that 66.8 percent of citizens age 18 and older voted in 2020, the highest turnout of the twenty-first century. In the bureau’s </w:t>
      </w:r>
      <w:hyperlink r:id="rId23">
        <w:r w:rsidDel="00000000" w:rsidR="00000000" w:rsidRPr="00000000">
          <w:rPr>
            <w:rFonts w:ascii="Times New Roman" w:cs="Times New Roman" w:eastAsia="Times New Roman" w:hAnsi="Times New Roman"/>
            <w:color w:val="1155cc"/>
            <w:sz w:val="28"/>
            <w:szCs w:val="28"/>
            <w:u w:val="single"/>
            <w:rtl w:val="0"/>
          </w:rPr>
          <w:t xml:space="preserve">family-income table</w:t>
        </w:r>
      </w:hyperlink>
      <w:r w:rsidDel="00000000" w:rsidR="00000000" w:rsidRPr="00000000">
        <w:rPr>
          <w:rFonts w:ascii="Times New Roman" w:cs="Times New Roman" w:eastAsia="Times New Roman" w:hAnsi="Times New Roman"/>
          <w:sz w:val="28"/>
          <w:szCs w:val="28"/>
          <w:rtl w:val="0"/>
        </w:rPr>
        <w:t xml:space="preserve">, reported turnout among adult citizens rose from 47.1 percent for family incomes under $10,000 to 63.1 percent for $30,000–$39,999 and 80.5 percent for $100,000–$149,999.</w:t>
      </w: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Implications for Policy and Practice</w:t>
      </w:r>
    </w:p>
    <w:p w:rsidR="00000000" w:rsidDel="00000000" w:rsidP="00000000" w:rsidRDefault="00000000" w:rsidRPr="00000000" w14:paraId="00000027">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Three civic design principles follow </w:t>
      </w:r>
      <w:r w:rsidDel="00000000" w:rsidR="00000000" w:rsidRPr="00000000">
        <w:rPr>
          <w:rFonts w:ascii="Times New Roman" w:cs="Times New Roman" w:eastAsia="Times New Roman" w:hAnsi="Times New Roman"/>
          <w:sz w:val="28"/>
          <w:szCs w:val="28"/>
          <w:rtl w:val="0"/>
        </w:rPr>
        <w:t xml:space="preserve">from this account:</w:t>
      </w:r>
      <w:r w:rsidDel="00000000" w:rsidR="00000000" w:rsidRPr="00000000">
        <w:rPr>
          <w:rtl w:val="0"/>
        </w:rPr>
      </w:r>
    </w:p>
    <w:p w:rsidR="00000000" w:rsidDel="00000000" w:rsidP="00000000" w:rsidRDefault="00000000" w:rsidRPr="00000000" w14:paraId="00000028">
      <w:pPr>
        <w:spacing w:after="200" w:before="20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1. Treat personal security as part of civic infrastructure:</w:t>
      </w:r>
      <w:r w:rsidDel="00000000" w:rsidR="00000000" w:rsidRPr="00000000">
        <w:rPr>
          <w:rFonts w:ascii="Times New Roman" w:cs="Times New Roman" w:eastAsia="Times New Roman" w:hAnsi="Times New Roman"/>
          <w:sz w:val="28"/>
          <w:szCs w:val="28"/>
          <w:rtl w:val="0"/>
        </w:rPr>
        <w:t xml:space="preserve"> Policies that reduce economic volatility may also reduce the cognitive demands associated with material insecurity.</w:t>
      </w:r>
    </w:p>
    <w:p w:rsidR="00000000" w:rsidDel="00000000" w:rsidP="00000000" w:rsidRDefault="00000000" w:rsidRPr="00000000" w14:paraId="00000029">
      <w:pPr>
        <w:spacing w:after="200" w:before="20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2. Make participation consequential:</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Participatory budgeting processes, public hearings, and other public forums should provide clear ways for people to influence decisions and see how institutions respond.</w:t>
      </w:r>
      <w:r w:rsidDel="00000000" w:rsidR="00000000" w:rsidRPr="00000000">
        <w:rPr>
          <w:rtl w:val="0"/>
        </w:rPr>
      </w:r>
    </w:p>
    <w:p w:rsidR="00000000" w:rsidDel="00000000" w:rsidP="00000000" w:rsidRDefault="00000000" w:rsidRPr="00000000" w14:paraId="0000002A">
      <w:pPr>
        <w:spacing w:after="200" w:before="200" w:lineRule="auto"/>
        <w:ind w:left="72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 Create local opportunities to participate:</w:t>
      </w:r>
      <w:r w:rsidDel="00000000" w:rsidR="00000000" w:rsidRPr="00000000">
        <w:rPr>
          <w:rFonts w:ascii="Times New Roman" w:cs="Times New Roman" w:eastAsia="Times New Roman" w:hAnsi="Times New Roman"/>
          <w:sz w:val="28"/>
          <w:szCs w:val="28"/>
          <w:rtl w:val="0"/>
        </w:rPr>
        <w:t xml:space="preserve"> Schools, neighborhoods, workplaces, and community groups can provide regular places for people to address shared concerns together.</w:t>
      </w:r>
      <w:r w:rsidDel="00000000" w:rsidR="00000000" w:rsidRPr="00000000">
        <w:rPr>
          <w:rtl w:val="0"/>
        </w:rPr>
      </w:r>
    </w:p>
    <w:p w:rsidR="00000000" w:rsidDel="00000000" w:rsidP="00000000" w:rsidRDefault="00000000" w:rsidRPr="00000000" w14:paraId="0000002B">
      <w:pPr>
        <w:spacing w:after="200" w:before="200" w:lineRule="auto"/>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Democratic participation depends on more than formal rights. People also need the material stability, practical knowledge, social connection, and confidence to act on those rights. Human ecology education can strengthen practical knowledge and personal agency, but it cannot replace the economic security or responsive institutions that make participation possible.</w:t>
      </w:r>
      <w:r w:rsidDel="00000000" w:rsidR="00000000" w:rsidRPr="00000000">
        <w:rPr>
          <w:rtl w:val="0"/>
        </w:rPr>
      </w:r>
    </w:p>
    <w:p w:rsidR="00000000" w:rsidDel="00000000" w:rsidP="00000000" w:rsidRDefault="00000000" w:rsidRPr="00000000" w14:paraId="0000002C">
      <w:pPr>
        <w:spacing w:after="200" w:before="200" w:lineRule="auto"/>
        <w:rPr>
          <w:rFonts w:ascii="Times New Roman" w:cs="Times New Roman" w:eastAsia="Times New Roman" w:hAnsi="Times New Roman"/>
          <w:sz w:val="28"/>
          <w:szCs w:val="28"/>
        </w:rPr>
      </w:pPr>
      <w:r w:rsidDel="00000000" w:rsidR="00000000" w:rsidRPr="00000000">
        <w:rPr>
          <w:rtl w:val="0"/>
        </w:rPr>
      </w:r>
    </w:p>
    <w:sectPr>
      <w:headerReference r:id="rId24" w:type="default"/>
      <w:headerReference r:id="rId25" w:type="first"/>
      <w:footerReference r:id="rId26" w:type="first"/>
      <w:pgSz w:h="15840" w:w="12240" w:orient="portrait"/>
      <w:pgMar w:bottom="90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200" w:before="200" w:lineRule="auto"/>
    </w:pPr>
    <w:rPr>
      <w:rFonts w:ascii="Times New Roman" w:cs="Times New Roman" w:eastAsia="Times New Roman" w:hAnsi="Times New Roman"/>
      <w:b w:val="1"/>
      <w:bCs w:val="1"/>
      <w:sz w:val="28"/>
      <w:szCs w:val="28"/>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exhibits.library.cornell.edu/homeEc/feature/timeline-fdcacfae-ad2e-4fd2-a86e-1fa05c275ee7" TargetMode="External"/><Relationship Id="rId22" Type="http://schemas.openxmlformats.org/officeDocument/2006/relationships/hyperlink" Target="https://www.census.gov/newsroom/press-releases/2021/2020-presidential-election-voting-and-registration-tables-now-available.html" TargetMode="External"/><Relationship Id="rId21" Type="http://schemas.openxmlformats.org/officeDocument/2006/relationships/hyperlink" Target="https://observatory.wiki/Why_Every_Student_Needs_Human_Ecology_Education_Now" TargetMode="External"/><Relationship Id="rId24" Type="http://schemas.openxmlformats.org/officeDocument/2006/relationships/header" Target="header1.xml"/><Relationship Id="rId23" Type="http://schemas.openxmlformats.org/officeDocument/2006/relationships/hyperlink" Target="https://www.census.gov/data/tables/time-series/demo/voting-and-registration/p20-585.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007/s11109-024-09933-x" TargetMode="External"/><Relationship Id="rId26" Type="http://schemas.openxmlformats.org/officeDocument/2006/relationships/footer" Target="footer1.xml"/><Relationship Id="rId25"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www.ccsf.edu/" TargetMode="External"/><Relationship Id="rId7" Type="http://schemas.openxmlformats.org/officeDocument/2006/relationships/hyperlink" Target="https://observatory.wiki/Sandra_Ericson" TargetMode="External"/><Relationship Id="rId8" Type="http://schemas.openxmlformats.org/officeDocument/2006/relationships/hyperlink" Target="https://observatory.wiki/" TargetMode="External"/><Relationship Id="rId11" Type="http://schemas.openxmlformats.org/officeDocument/2006/relationships/hyperlink" Target="https://econofact.org/voting-and-income" TargetMode="External"/><Relationship Id="rId10" Type="http://schemas.openxmlformats.org/officeDocument/2006/relationships/hyperlink" Target="https://www.apa.org/monitor/2014/02/scarcity" TargetMode="External"/><Relationship Id="rId13" Type="http://schemas.openxmlformats.org/officeDocument/2006/relationships/hyperlink" Target="https://doi.org/10.1007/s11109-024-09933-x" TargetMode="External"/><Relationship Id="rId12" Type="http://schemas.openxmlformats.org/officeDocument/2006/relationships/hyperlink" Target="https://academic.oup.com/ser/article/21/1/665/6482042" TargetMode="External"/><Relationship Id="rId15" Type="http://schemas.openxmlformats.org/officeDocument/2006/relationships/hyperlink" Target="https://psychclassics.yorku.ca/Maslow/motivation.htm" TargetMode="External"/><Relationship Id="rId14" Type="http://schemas.openxmlformats.org/officeDocument/2006/relationships/hyperlink" Target="https://www.pnas.org/doi/10.1073/pnas.2306287121" TargetMode="External"/><Relationship Id="rId17" Type="http://schemas.openxmlformats.org/officeDocument/2006/relationships/hyperlink" Target="https://www.oecd.org/en/publications/government-at-a-glance-2021_1c258f55-en/full-report/component-77.html" TargetMode="External"/><Relationship Id="rId16" Type="http://schemas.openxmlformats.org/officeDocument/2006/relationships/hyperlink" Target="https://longevity.stanford.edu/self-efficacy-toward-a-unifying-theory-of-behavior-change/" TargetMode="External"/><Relationship Id="rId19" Type="http://schemas.openxmlformats.org/officeDocument/2006/relationships/hyperlink" Target="https://exhibits.library.cornell.edu/homeEc/feature/what-role-did-home-economists-play-in-the-national-emergencies-of-the-twentieth-century" TargetMode="External"/><Relationship Id="rId18" Type="http://schemas.openxmlformats.org/officeDocument/2006/relationships/hyperlink" Target="https://www.tandfonline.com/doi/full/10.1080/10584609.2022.20863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