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rPr>
          <w:rFonts w:ascii="Times New Roman" w:cs="Times New Roman" w:eastAsia="Times New Roman" w:hAnsi="Times New Roman"/>
          <w:b w:val="1"/>
          <w:bCs w:val="1"/>
          <w:sz w:val="28"/>
          <w:szCs w:val="28"/>
        </w:rPr>
      </w:pPr>
      <w:bookmarkStart w:colFirst="0" w:colLast="0" w:name="_13usqjmvbin2" w:id="0"/>
      <w:bookmarkEnd w:id="0"/>
      <w:r w:rsidDel="00000000" w:rsidR="00000000" w:rsidRPr="00000000">
        <w:rPr>
          <w:rtl w:val="0"/>
        </w:rPr>
      </w:r>
    </w:p>
    <w:p w:rsidR="00000000" w:rsidDel="00000000" w:rsidP="00000000" w:rsidRDefault="00000000" w:rsidRPr="00000000" w14:paraId="00000002">
      <w:pPr>
        <w:pStyle w:val="Title"/>
        <w:spacing w:after="200" w:lineRule="auto"/>
        <w:rPr>
          <w:rFonts w:ascii="Times New Roman" w:cs="Times New Roman" w:eastAsia="Times New Roman" w:hAnsi="Times New Roman"/>
          <w:sz w:val="28"/>
          <w:szCs w:val="28"/>
        </w:rPr>
      </w:pPr>
      <w:bookmarkStart w:colFirst="0" w:colLast="0" w:name="_u0d1ef7bm39e" w:id="1"/>
      <w:bookmarkEnd w:id="1"/>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Investing in Care: A Public-Private Model for Youth Opportunity</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 scalable model that combines education, paid work, mentorship, and healthcare to support vulnerable youth.</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Colin Greer and Reynard Loki</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Dr. Colin Greer </w:t>
      </w:r>
      <w:r w:rsidDel="00000000" w:rsidR="00000000" w:rsidRPr="00000000">
        <w:rPr>
          <w:rFonts w:ascii="Times New Roman" w:cs="Times New Roman" w:eastAsia="Times New Roman" w:hAnsi="Times New Roman"/>
          <w:sz w:val="28"/>
          <w:szCs w:val="28"/>
          <w:rtl w:val="0"/>
        </w:rPr>
        <w:t xml:space="preserve">served as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New World Foundation</w:t>
        </w:r>
      </w:hyperlink>
      <w:r w:rsidDel="00000000" w:rsidR="00000000" w:rsidRPr="00000000">
        <w:rPr>
          <w:rFonts w:ascii="Times New Roman" w:cs="Times New Roman" w:eastAsia="Times New Roman" w:hAnsi="Times New Roman"/>
          <w:sz w:val="28"/>
          <w:szCs w:val="28"/>
          <w:rtl w:val="0"/>
        </w:rPr>
        <w:t xml:space="preserve"> from 1985 to 2025 and now serves as a strategic advisor to the foundation. A former Brooklyn College professor, he directed studies on U.S. immigration and urban schooling at Columbia University and CUNY. He has advised national leaders, including First Lady Hillary Clinton and Senator Paul Wellstone. His books include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A Call to Character</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Choosing Equality</w:t>
        </w:r>
      </w:hyperlink>
      <w:r w:rsidDel="00000000" w:rsidR="00000000" w:rsidRPr="00000000">
        <w:rPr>
          <w:rFonts w:ascii="Times New Roman" w:cs="Times New Roman" w:eastAsia="Times New Roman" w:hAnsi="Times New Roman"/>
          <w:sz w:val="28"/>
          <w:szCs w:val="28"/>
          <w:rtl w:val="0"/>
        </w:rPr>
        <w:t xml:space="preserve">, winner of the ALA’s Eli M. Oboler Award. A poet and playwright, his work has appeared in Transfer, Hanging Loose, Tikkun, and Kosmos. His plays, including </w:t>
      </w:r>
      <w:r w:rsidDel="00000000" w:rsidR="00000000" w:rsidRPr="00000000">
        <w:rPr>
          <w:rFonts w:ascii="Times New Roman" w:cs="Times New Roman" w:eastAsia="Times New Roman" w:hAnsi="Times New Roman"/>
          <w:i w:val="1"/>
          <w:iCs w:val="1"/>
          <w:sz w:val="28"/>
          <w:szCs w:val="28"/>
          <w:rtl w:val="0"/>
        </w:rPr>
        <w:t xml:space="preserve">Imagining Heschel</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iCs w:val="1"/>
          <w:sz w:val="28"/>
          <w:szCs w:val="28"/>
          <w:rtl w:val="0"/>
        </w:rPr>
        <w:t xml:space="preserve">Spinoza’s Solitude</w:t>
      </w:r>
      <w:r w:rsidDel="00000000" w:rsidR="00000000" w:rsidRPr="00000000">
        <w:rPr>
          <w:rFonts w:ascii="Times New Roman" w:cs="Times New Roman" w:eastAsia="Times New Roman" w:hAnsi="Times New Roman"/>
          <w:sz w:val="28"/>
          <w:szCs w:val="28"/>
          <w:rtl w:val="0"/>
        </w:rPr>
        <w:t xml:space="preserve">, are collected in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Religious Differences Between Artichokes</w:t>
        </w:r>
      </w:hyperlink>
      <w:r w:rsidDel="00000000" w:rsidR="00000000" w:rsidRPr="00000000">
        <w:rPr>
          <w:rFonts w:ascii="Times New Roman" w:cs="Times New Roman" w:eastAsia="Times New Roman" w:hAnsi="Times New Roman"/>
          <w:sz w:val="28"/>
          <w:szCs w:val="28"/>
          <w:rtl w:val="0"/>
        </w:rPr>
        <w:t xml:space="preserve">, with a preface by Cornel West. His long poem, “Treaty Between Self and Earth,” was performed at Rattlestick Theatre in 2022.</w:t>
      </w:r>
    </w:p>
    <w:p w:rsidR="00000000" w:rsidDel="00000000" w:rsidP="00000000" w:rsidRDefault="00000000" w:rsidRPr="00000000" w14:paraId="00000007">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Reynard Loki</w:t>
      </w:r>
      <w:r w:rsidDel="00000000" w:rsidR="00000000" w:rsidRPr="00000000">
        <w:rPr>
          <w:rFonts w:ascii="Times New Roman" w:cs="Times New Roman" w:eastAsia="Times New Roman" w:hAnsi="Times New Roman"/>
          <w:sz w:val="28"/>
          <w:szCs w:val="28"/>
          <w:rtl w:val="0"/>
        </w:rPr>
        <w:t xml:space="preserve"> is a co-founder of the </w:t>
      </w:r>
      <w:hyperlink r:id="rId10">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is a writing fellow and the editor and chief correspondent for </w:t>
      </w:r>
      <w:hyperlink r:id="rId11">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at the </w:t>
      </w:r>
      <w:hyperlink r:id="rId12">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sz w:val="28"/>
          <w:szCs w:val="28"/>
          <w:rtl w:val="0"/>
        </w:rPr>
        <w:t xml:space="preserve">. His work has appeared in Salon, Truthout, EcoWatch, BillMoyers.com, and Yes! Magazine. A former environmental editor at </w:t>
      </w:r>
      <w:r w:rsidDel="00000000" w:rsidR="00000000" w:rsidRPr="00000000">
        <w:rPr>
          <w:rFonts w:ascii="Times New Roman" w:cs="Times New Roman" w:eastAsia="Times New Roman" w:hAnsi="Times New Roman"/>
          <w:i w:val="1"/>
          <w:iCs w:val="1"/>
          <w:sz w:val="28"/>
          <w:szCs w:val="28"/>
          <w:rtl w:val="0"/>
        </w:rPr>
        <w:t xml:space="preserve">AlterNet</w:t>
      </w:r>
      <w:r w:rsidDel="00000000" w:rsidR="00000000" w:rsidRPr="00000000">
        <w:rPr>
          <w:rFonts w:ascii="Times New Roman" w:cs="Times New Roman" w:eastAsia="Times New Roman" w:hAnsi="Times New Roman"/>
          <w:sz w:val="28"/>
          <w:szCs w:val="28"/>
          <w:rtl w:val="0"/>
        </w:rPr>
        <w:t xml:space="preserve">, he writes on the intersections of justice, ecology, and human rights. He serves on the board of the Stuyvesant Park Neighborhood Association, where he supports education programming for local children and families. He regularly speaks with high school students about environmental awareness and community advocacy.</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is the fourth article in the series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Does Your Community Care About Children?</w:t>
        </w:r>
      </w:hyperlink>
      <w:r w:rsidDel="00000000" w:rsidR="00000000" w:rsidRPr="00000000">
        <w:rPr>
          <w:rFonts w:ascii="Times New Roman" w:cs="Times New Roman" w:eastAsia="Times New Roman" w:hAnsi="Times New Roman"/>
          <w:i w:val="1"/>
          <w:iCs w:val="1"/>
          <w:sz w:val="28"/>
          <w:szCs w:val="28"/>
          <w:rtl w:val="0"/>
        </w:rPr>
        <w:t xml:space="preserve">” It was produced by the Independent Media Institute for the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It is licensed under the Creative Commons Attribution-NonCommercial-ShareAlike 4.0 International License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CC BY-NC-SA 4.0</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Community; Economy; Education; Health Care; Human Rights; Labor; Philosophy; Psychology; Social Benefits; Social Justice; Social Science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we are to understand the conditions facing vulnerable children, we have to begin with a difficult truth: poverty remains the central force shaping their lives. It is not the only factor, but it is the most consistent one—structuring access to health, education, safety, and opportunity from the earliest years onward.</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Children, by definition, are dependent. Their well-being is tied to the systems that surround them—family, school, community, and public institutions. When those systems are strained by poverty, the effects are not marginal. They are often paralyzing. Barriers to opportunity—whether in the form of underfunded schools, unstable housing, environmental hazards, food insecurity, or lack of healthcare—are not experienced as abstract policy failures. They are lived constraints that narrow what a child can imagine for their future.</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has repeatedly shown that childhood poverty affects educational attainment, physical health, mental health, and long-term earnings potential. Children raised in economically unstable households are more likely to experience chronic stress, lower academic performance, and reduced social mobility. These patterns are not isolated outcomes. They reinforce one another across time.</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tempting to respond to this reality with calls for sweeping transformation—to eliminate poverty altogether or radically redesign the systems that produce inequality. But in the absence of such transformation, the question remains: what can be done now?</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answer may lie in a more grounded approach. If we cannot yet abolish poverty, we can still confront it—carefully, persistently, and in the details. We can examine where harm occurs, where opportunities are blocked, and where support is insufficient. And we can begin to build systems that respond not in fragments, but with coherence and intention.</w:t>
      </w:r>
    </w:p>
    <w:p w:rsidR="00000000" w:rsidDel="00000000" w:rsidP="00000000" w:rsidRDefault="00000000" w:rsidRPr="00000000" w14:paraId="0000001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9dd7spjor3h2" w:id="2"/>
      <w:bookmarkEnd w:id="2"/>
      <w:r w:rsidDel="00000000" w:rsidR="00000000" w:rsidRPr="00000000">
        <w:rPr>
          <w:rFonts w:ascii="Times New Roman" w:cs="Times New Roman" w:eastAsia="Times New Roman" w:hAnsi="Times New Roman"/>
          <w:b w:val="1"/>
          <w:bCs w:val="1"/>
          <w:color w:val="000000"/>
          <w:rtl w:val="0"/>
        </w:rPr>
        <w:t xml:space="preserve">From Fragmentation to Comprehensive Services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defining features of current approaches to child welfare is fragmentation. Education, healthcare, workforce development, and social services are often treated as separate domains, each with its own funding streams, eligibility criteria, and institutional boundaries. Programs exist, but they rarely form a continuous pathway.</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result is a patchwork system in which children and families must navigate multiple entry points, often without guidance and often at moments of crisis. Support is reactive rather than preventive. Transitions—from early childhood to adolescence, from school to work—are especially vulnerable points where many fall through the gaps.</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different approach begins by shifting from isolated interventions to comprehensive services. This does not mean a single program that attempts to do everything. It means designing systems so that the supports children need—education, health, mentorship, and opportunity—are aligned, accessible, and sustained over time.</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Healthcare is especially important in this framework because childhood well-being is inseparable from physical and mental health. Untreated medical conditions, chronic stress, trauma, nutritional instability, and lack of preventive care all shape educational outcomes and long-term stability. Yet healthcare systems for low-income children are frequently overstretched, fragmented, or difficult to access consistently.</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make such an approach workable, it helps to organize the problem—and the response—into three practical frames: what can be stopped, how resilience can be built, and what communities themselves can do.</w:t>
      </w:r>
    </w:p>
    <w:p w:rsidR="00000000" w:rsidDel="00000000" w:rsidP="00000000" w:rsidRDefault="00000000" w:rsidRPr="00000000" w14:paraId="0000001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f0leztynta2v" w:id="3"/>
      <w:bookmarkEnd w:id="3"/>
      <w:r w:rsidDel="00000000" w:rsidR="00000000" w:rsidRPr="00000000">
        <w:rPr>
          <w:rFonts w:ascii="Times New Roman" w:cs="Times New Roman" w:eastAsia="Times New Roman" w:hAnsi="Times New Roman"/>
          <w:b w:val="1"/>
          <w:bCs w:val="1"/>
          <w:color w:val="000000"/>
          <w:rtl w:val="0"/>
        </w:rPr>
        <w:t xml:space="preserve">What We Can Stop</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of the harms children experience are not inevitable. They are the result of policy choices and institutional practices that can be changed.</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include the criminalization of childhood behaviors, the persistence of hunger and food insecurity, homelessness, lack of access to healthcare, and schooling systems that fail to meet basic educational needs. They also include exploitative labor conditions and the absence of meaningful job pathways for adolescents who are ready and able to work. The concern is not with young people engaging in meaningful, educationally compatible work experiences, but with exploitative labor that undermines development, safety, or educational opportunity. Work, under the right conditions, can itself become a form of learning and civic participation.</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of these conditions has been documented extensively. Food insecurity affects millions of children in the United States each year. Youth homelessness remains a persistent national crisis. Public schools in low-income communities continue to face chronic funding disparities, overcrowding, and staffing shortages. Children in economically disadvantaged neighborhoods are also more likely to encounter punitive disciplinary systems and policing practices at younger ages.</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begin here is not to solve everything. It is to establish a baseline: there are forms of harm we already understand well enough to address. Reducing them is not a matter of innovation, but of political will, coordination, and sustained attention.</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Stopping harm does not in itself create opportunity. But it removes obstacles that should not be there in the first place. It clears the ground for the next question: how do we build the conditions in which children can move forward?</w:t>
      </w:r>
    </w:p>
    <w:p w:rsidR="00000000" w:rsidDel="00000000" w:rsidP="00000000" w:rsidRDefault="00000000" w:rsidRPr="00000000" w14:paraId="0000001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s0k5p3sznp0a" w:id="4"/>
      <w:bookmarkEnd w:id="4"/>
      <w:r w:rsidDel="00000000" w:rsidR="00000000" w:rsidRPr="00000000">
        <w:rPr>
          <w:rFonts w:ascii="Times New Roman" w:cs="Times New Roman" w:eastAsia="Times New Roman" w:hAnsi="Times New Roman"/>
          <w:b w:val="1"/>
          <w:bCs w:val="1"/>
          <w:color w:val="000000"/>
          <w:rtl w:val="0"/>
        </w:rPr>
        <w:t xml:space="preserve">Building Resilience and Confidence</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we look at children who navigate challenges and move toward stable adulthood, a pattern emerges. Their success is not simply the result of individual effort or family background. It reflects the presence of consistent, reinforcing supports across multiple areas of life.</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supports are often taken for granted in middle-class environments. They include structured schools, accessible extracurricular activities, responsive healthcare, tutoring, summer programs, mentorship, and adults who are available to provide attention and guidance when needed. Together, these experiences and supports create a sense of stability and expectation: that effort will be met with opportunity, that challenges can be managed, and that a future is attainable.</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communities already recognize the importance of developmental supports outside formal schooling. Educational foundations, scholarship programs, summer camps, arts initiatives, tutoring networks, and enrichment opportunities often provide forms of stimulation and engagement that are essential to school success yet occur beyond the classroom itself. Programs that support access to camps, educational travel, extracurricular learning, and community-based enrichment reflect an understanding that education is shaped not only by what happens in school, but also by the environments and opportunities surrounding it.</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Middle-class children frequently receive these experiences as part of ordinary life, while lower-income children encounter them inconsistently or not at all. The key difference is not that some children have better parents. It is that some children are surrounded by systems that can afford to pay attention to them.</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under-resourced communities, the opposite is often true. Classrooms are overcrowded. After-school programs are limited. Healthcare systems are strained. Counselors and social workers are spread thin. Mentorship, when available, is often sporadic. The result is not a lack of care so much as a scarcity of sustained attention.</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Addressing this gap requires a shift in focus—from correcting individual deficits to expanding system capacity. Children need reliable access to adult support across the environments they move through. This means lower adult-to-child ratios in schools, enrichment programs, mentorship settings, healthcare environments, and youth employment programs. It means creating conditions in which attention is not a scarce resource available only to the affluent.</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Alongside this structural support, other elements contribute to resilience. Children benefit from a sense of belonging—of being valued within their families and communities. They benefit from opportunities to contribute, to be recognized, and to see their efforts matter. They also benefit from predictable pathways forward that reduce uncertainty and reinforce long-term planning.</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important of these pathways is access to post-secondary opportunity. Whether through academic education, technical training, apprenticeships, or skilled trades, the expectation that further learning and advancement are possible should not depend on income. Middle-class children often grow up with an implicit guarantee that if they work hard and succeed academically, opportunities will follow. For many poor children, that relationship between effort and reward is far less certain. A system that guarantees educational opportunity in response to commitment and achievement helps restore faith that effort has meaning and that the future is not closed off in advance.</w:t>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expectation can be reinforced through direct investment in children. A savings or allowance structure—something like a GI Bill for children—can signal that society has a stake in their future. Instead of waiting until young people are already burdened by debt or instability, the investment would begin early and accumulate gradually through childhood and adolescence.</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framework also begins earlier than adolescence. Increasingly, researchers and policymakers have emphasized the importance of birth equity, maternal health, and early-childhood stability in shaping long-term outcomes. Proposals such as baby bonds—publicly funded savings accounts established for children at birth—reflect the growing recognition that inequality compounds over time. Connecting these early investments to later educational and workforce opportunities creates continuity across childhood rather than treating each stage of development as a separate policy problem.</w:t>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Taken together, these elements form the basis of resilience—not as an abstract personality trait, but as a product of sustained, structured support.</w:t>
      </w:r>
    </w:p>
    <w:p w:rsidR="00000000" w:rsidDel="00000000" w:rsidP="00000000" w:rsidRDefault="00000000" w:rsidRPr="00000000" w14:paraId="0000002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hm8227nklok" w:id="5"/>
      <w:bookmarkEnd w:id="5"/>
      <w:r w:rsidDel="00000000" w:rsidR="00000000" w:rsidRPr="00000000">
        <w:rPr>
          <w:rFonts w:ascii="Times New Roman" w:cs="Times New Roman" w:eastAsia="Times New Roman" w:hAnsi="Times New Roman"/>
          <w:b w:val="1"/>
          <w:bCs w:val="1"/>
          <w:color w:val="000000"/>
          <w:rtl w:val="0"/>
        </w:rPr>
        <w:t xml:space="preserve">The Model in Practice: Resilience Ranges</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way to think about how these ideas might work together in practice is through a community-based framework of service and development that might be called Resilience Ranges. The point is not to propose a single national program to be adopted uniformly across the country, but to illustrate how education, mentorship, healthcare, meaningful work, and long-term investment might be coordinated under a shared developmental umbrella.</w:t>
      </w:r>
    </w:p>
    <w:p w:rsidR="00000000" w:rsidDel="00000000" w:rsidP="00000000" w:rsidRDefault="00000000" w:rsidRPr="00000000" w14:paraId="0000002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sense, Resilience Ranges functions less as a fixed institutional blueprint than as a thought experiment—a way of imagining how communities could organize interlocking supports so that children encounter continuity rather than fragmentation as they move from childhood into adulthood.</w:t>
      </w:r>
    </w:p>
    <w:p w:rsidR="00000000" w:rsidDel="00000000" w:rsidP="00000000" w:rsidRDefault="00000000" w:rsidRPr="00000000" w14:paraId="0000002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its core, the model adapts elements of national service programs to a local context and extends them to younger participants. It is designed to begin in middle school and continue through high school, creating a continuous experience rather than a one-time intervention.</w:t>
      </w:r>
    </w:p>
    <w:p w:rsidR="00000000" w:rsidDel="00000000" w:rsidP="00000000" w:rsidRDefault="00000000" w:rsidRPr="00000000" w14:paraId="0000002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middle school, participation would be voluntary and exploratory. Students could choose to engage in weekend service activities, much as they might choose to join a sports team or an arts program. The goal at this stage is exposure—introducing the idea that contributing to one’s community is both valuable and expected.</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high school, participants would take on a more formal role as “Rangers.” They would engage in structured service on weekends and during the summer, working with community-based organizations across a range of fields. This work would be compensated, with stipends directed in part toward future education and training.</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activities themselves would vary depending on local needs. Some communities might emphasize environmental restoration, public-health outreach, elder care, tutoring, food systems, or neighborhood improvement projects. Others might partner with unions, technical schools, hospitals, libraries, or local businesses to expose students to skilled trades and professional pathways.</w:t>
      </w:r>
    </w:p>
    <w:p w:rsidR="00000000" w:rsidDel="00000000" w:rsidP="00000000" w:rsidRDefault="00000000" w:rsidRPr="00000000" w14:paraId="0000003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Existing apprenticeship systems already demonstrate that structured, hands-on learning tied to real work can provide both economic mobility and a stronger sense of direction for young people. Programs such as Year Up have also shown that combining mentorship, technical training, and workplace experience can significantly improve employment outcomes for young adults.</w:t>
      </w:r>
    </w:p>
    <w:p w:rsidR="00000000" w:rsidDel="00000000" w:rsidP="00000000" w:rsidRDefault="00000000" w:rsidRPr="00000000" w14:paraId="0000003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Earlier community-based experiments also demonstrated the value of linking education, service, and guaranteed opportunity. One initiative developed through the New World Foundation (where Colin Greer serves as president), known as COIN, supported high school students selected not primarily for academic performance but for leadership potential. Participants worked in community organizations during high school and were guaranteed college support if accepted into post-secondary programs. During college, they returned to community work during the summers with paid stipends, allowing them to continue developing skills and civic engagement without abandoning their educational goals for unrelated work. The model reinforced the relationship between contribution, education, and opportunity.</w:t>
      </w:r>
    </w:p>
    <w:p w:rsidR="00000000" w:rsidDel="00000000" w:rsidP="00000000" w:rsidRDefault="00000000" w:rsidRPr="00000000" w14:paraId="0000003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matters most is that the work is real, connected to community priorities, and carried out alongside experienced adults who can provide guidance, accountability, and encouragement.</w:t>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this structure, several objectives are met simultaneously. Students gain work experience and practical skills. They form relationships with adults and peers in a structured setting. They contribute to their communities in visible ways. And they begin to see a connection between their efforts and their future opportunities.</w:t>
      </w:r>
    </w:p>
    <w:p w:rsidR="00000000" w:rsidDel="00000000" w:rsidP="00000000" w:rsidRDefault="00000000" w:rsidRPr="00000000" w14:paraId="0000003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as important, the model reinforces consistent access to adult support. Mentorship is not an optional add-on, but an embedded feature of the work itself. Attention is built into the structure, not left to chance.</w:t>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this experience can shape how young people see themselves—not as passive recipients of services, but as participants in a shared civic project.</w:t>
      </w:r>
    </w:p>
    <w:p w:rsidR="00000000" w:rsidDel="00000000" w:rsidP="00000000" w:rsidRDefault="00000000" w:rsidRPr="00000000" w14:paraId="0000003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3e0frrmuzt10" w:id="6"/>
      <w:bookmarkEnd w:id="6"/>
      <w:r w:rsidDel="00000000" w:rsidR="00000000" w:rsidRPr="00000000">
        <w:rPr>
          <w:rFonts w:ascii="Times New Roman" w:cs="Times New Roman" w:eastAsia="Times New Roman" w:hAnsi="Times New Roman"/>
          <w:b w:val="1"/>
          <w:bCs w:val="1"/>
          <w:color w:val="000000"/>
          <w:rtl w:val="0"/>
        </w:rPr>
        <w:t xml:space="preserve">What Communities Can Do</w:t>
      </w:r>
    </w:p>
    <w:p w:rsidR="00000000" w:rsidDel="00000000" w:rsidP="00000000" w:rsidRDefault="00000000" w:rsidRPr="00000000" w14:paraId="0000003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national and state policies are essential, much of the work of supporting children happens at the community level. This is where institutions intersect, where policies are implemented, and where daily life unfolds.</w:t>
      </w:r>
    </w:p>
    <w:p w:rsidR="00000000" w:rsidDel="00000000" w:rsidP="00000000" w:rsidRDefault="00000000" w:rsidRPr="00000000" w14:paraId="0000003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practical step communities can take is to adopt a simple yet powerful standard: evaluate all policies and decisions by their impact on children. This “child-impact audit” can be applied across domains—from budgeting and land use to transportation, education, environmental planning, and public health.</w:t>
      </w:r>
    </w:p>
    <w:p w:rsidR="00000000" w:rsidDel="00000000" w:rsidP="00000000" w:rsidRDefault="00000000" w:rsidRPr="00000000" w14:paraId="0000003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is not to create an additional layer of bureaucracy, but to introduce a consistent question into decision-making: how will this affect the children in our community? If the impact is negative, what barriers prevent change?</w:t>
      </w:r>
    </w:p>
    <w:p w:rsidR="00000000" w:rsidDel="00000000" w:rsidP="00000000" w:rsidRDefault="00000000" w:rsidRPr="00000000" w14:paraId="0000003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an approach can be supported by partnerships with local universities or research institutions that help analyze data, identify patterns, and evaluate outcomes. It can also create a shared language for discussing priorities and trade-offs.</w:t>
      </w:r>
    </w:p>
    <w:p w:rsidR="00000000" w:rsidDel="00000000" w:rsidP="00000000" w:rsidRDefault="00000000" w:rsidRPr="00000000" w14:paraId="0000003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second step is to build and sustain a local ecosystem of service opportunities. Programs like Resilience Ranges depend on the presence of community-based organizations, schools, healthcare institutions, libraries, and local employers that are willing to collaborate. By aligning these actors around a common goal—supporting youth development—communities can create a more coherent system.</w:t>
      </w:r>
    </w:p>
    <w:p w:rsidR="00000000" w:rsidDel="00000000" w:rsidP="00000000" w:rsidRDefault="00000000" w:rsidRPr="00000000" w14:paraId="0000003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is inherently local. It reflects the specific needs, resources, and capacities of each place. But the underlying principle remains consistent: communities are not just sites of need, but also sites of action.</w:t>
      </w:r>
    </w:p>
    <w:p w:rsidR="00000000" w:rsidDel="00000000" w:rsidP="00000000" w:rsidRDefault="00000000" w:rsidRPr="00000000" w14:paraId="0000003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such a system to succeed, responsibility would have to be shared across public and private institutions. Local governments could provide coordination and baseline funding, while schools, nonprofits, employers, labor unions, healthcare providers, and higher education institutions would contribute opportunities, mentorship, training, and facilities.</w:t>
      </w:r>
    </w:p>
    <w:p w:rsidR="00000000" w:rsidDel="00000000" w:rsidP="00000000" w:rsidRDefault="00000000" w:rsidRPr="00000000" w14:paraId="0000003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Community organizations already possess deep knowledge of local conditions, but they are often underfunded and disconnected from broader educational and economic support systems. A coordinated model would treat these organizations not as peripheral charities, but as essential civic infrastructure.</w:t>
      </w:r>
    </w:p>
    <w:p w:rsidR="00000000" w:rsidDel="00000000" w:rsidP="00000000" w:rsidRDefault="00000000" w:rsidRPr="00000000" w14:paraId="0000003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context, “public-private” refers to collaboration among public institutions, community organizations, nonprofits, labor groups, educational institutions, and responsible private-sector partners. The goal is not to transfer responsibility away from the public sphere, but to align existing institutions around the shared task of supporting children and adolescents.</w:t>
      </w:r>
    </w:p>
    <w:p w:rsidR="00000000" w:rsidDel="00000000" w:rsidP="00000000" w:rsidRDefault="00000000" w:rsidRPr="00000000" w14:paraId="0000004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critics may argue that such a system would be too expensive, too bureaucratic, or too difficult to scale nationally. Others may worry that formalizing youth service risks institutionalizing childhood too heavily or placing excessive responsibility on schools and local governments. These concerns are legitimate and deserve consideration.</w:t>
      </w:r>
    </w:p>
    <w:p w:rsidR="00000000" w:rsidDel="00000000" w:rsidP="00000000" w:rsidRDefault="00000000" w:rsidRPr="00000000" w14:paraId="0000004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costs of fragmentation are already immense. Societies pay for youth instability in other ways: emergency healthcare, incarceration, unemployment, untreated mental-health conditions, and lost economic potential. The question is not whether resources will be spent, but whether they will be spent proactively or reactively.</w:t>
      </w:r>
    </w:p>
    <w:p w:rsidR="00000000" w:rsidDel="00000000" w:rsidP="00000000" w:rsidRDefault="00000000" w:rsidRPr="00000000" w14:paraId="0000004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aim is not to build a massive national bureaucracy with identical programs in every community. What must scale is the vision: the recognition that children deserve sustained support, meaningful opportunity, and consistent care. The practical responses themselves must remain local, shaped by the needs, institutions, and capacities of individual communities. A national framework can provide encouragement, sustained support and commitment, funding, and shared purpose while still allowing care to remain rooted in local relationships and realities.</w:t>
      </w:r>
    </w:p>
    <w:p w:rsidR="00000000" w:rsidDel="00000000" w:rsidP="00000000" w:rsidRDefault="00000000" w:rsidRPr="00000000" w14:paraId="0000004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gk0afg92u6f" w:id="7"/>
      <w:bookmarkEnd w:id="7"/>
      <w:r w:rsidDel="00000000" w:rsidR="00000000" w:rsidRPr="00000000">
        <w:rPr>
          <w:rFonts w:ascii="Times New Roman" w:cs="Times New Roman" w:eastAsia="Times New Roman" w:hAnsi="Times New Roman"/>
          <w:b w:val="1"/>
          <w:bCs w:val="1"/>
          <w:color w:val="000000"/>
          <w:rtl w:val="0"/>
        </w:rPr>
        <w:t xml:space="preserve">Guaranteeing the Future</w:t>
      </w:r>
    </w:p>
    <w:p w:rsidR="00000000" w:rsidDel="00000000" w:rsidP="00000000" w:rsidRDefault="00000000" w:rsidRPr="00000000" w14:paraId="0000004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such a system to function effectively, it must include a clear commitment to the future of the children it serves. This means more than providing services in the present. It means ensuring that pathways forward are real and accessible.</w:t>
      </w:r>
    </w:p>
    <w:p w:rsidR="00000000" w:rsidDel="00000000" w:rsidP="00000000" w:rsidRDefault="00000000" w:rsidRPr="00000000" w14:paraId="0000004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investment is one part of this commitment. Savings accounts, stipends, and education funds can provide a tangible foundation for future plans. They signal that effort will be met with support.</w:t>
      </w:r>
    </w:p>
    <w:p w:rsidR="00000000" w:rsidDel="00000000" w:rsidP="00000000" w:rsidRDefault="00000000" w:rsidRPr="00000000" w14:paraId="0000004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Access to post-secondary education is another essential part of the commitment. Whether through community colleges, trade schools, apprenticeship programs, or universities, opportunities for further learning should not depend on a family’s ability to pay.</w:t>
      </w:r>
    </w:p>
    <w:p w:rsidR="00000000" w:rsidDel="00000000" w:rsidP="00000000" w:rsidRDefault="00000000" w:rsidRPr="00000000" w14:paraId="0000004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communities participating in a model like Resilience Ranges, institutions of higher education could guarantee tuition-free access for students with family incomes below a certain threshold, removing loans and other financial barriers altogether. The goal is not only affordability, but predictability—the assurance that effort and participation will be met with a real pathway forward.</w:t>
      </w:r>
    </w:p>
    <w:p w:rsidR="00000000" w:rsidDel="00000000" w:rsidP="00000000" w:rsidRDefault="00000000" w:rsidRPr="00000000" w14:paraId="0000004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these elements are aligned—early investment, adolescent engagement, healthcare access, mentorship, and post-secondary opportunity—they form a continuous pathway. The transition from childhood to adulthood becomes less uncertain, less fragmented, and more stable.</w:t>
      </w:r>
    </w:p>
    <w:p w:rsidR="00000000" w:rsidDel="00000000" w:rsidP="00000000" w:rsidRDefault="00000000" w:rsidRPr="00000000" w14:paraId="0000004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3tjy1wr8nalh" w:id="8"/>
      <w:bookmarkEnd w:id="8"/>
      <w:r w:rsidDel="00000000" w:rsidR="00000000" w:rsidRPr="00000000">
        <w:rPr>
          <w:rFonts w:ascii="Times New Roman" w:cs="Times New Roman" w:eastAsia="Times New Roman" w:hAnsi="Times New Roman"/>
          <w:b w:val="1"/>
          <w:bCs w:val="1"/>
          <w:color w:val="000000"/>
          <w:rtl w:val="0"/>
        </w:rPr>
        <w:t xml:space="preserve">Investing in Care as Civic Responsibility</w:t>
      </w:r>
    </w:p>
    <w:p w:rsidR="00000000" w:rsidDel="00000000" w:rsidP="00000000" w:rsidRDefault="00000000" w:rsidRPr="00000000" w14:paraId="0000004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its core, the question this model raises is not only practical, but moral. What does it mean for a community to care for its children?</w:t>
      </w:r>
    </w:p>
    <w:p w:rsidR="00000000" w:rsidDel="00000000" w:rsidP="00000000" w:rsidRDefault="00000000" w:rsidRPr="00000000" w14:paraId="0000004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Care, in this sense, is not an emergency response. It is not limited to moments of crisis. It is an ongoing commitment, expressed through the systems a society chooses to build and sustain.</w:t>
      </w:r>
    </w:p>
    <w:p w:rsidR="00000000" w:rsidDel="00000000" w:rsidP="00000000" w:rsidRDefault="00000000" w:rsidRPr="00000000" w14:paraId="0000004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systems reflect collective values. They determine whether children encounter barriers or opportunities, whether attention is scarce or abundant, and whether the future is uncertain or within reach.</w:t>
      </w:r>
    </w:p>
    <w:p w:rsidR="00000000" w:rsidDel="00000000" w:rsidP="00000000" w:rsidRDefault="00000000" w:rsidRPr="00000000" w14:paraId="0000004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framework outlined here does not require a complete transformation of society. It operates within existing constraints. But it does require a shift in priorities—a willingness to understand care for children not as charity or emergency response, but as an ongoing civic responsibility.</w:t>
      </w:r>
    </w:p>
    <w:p w:rsidR="00000000" w:rsidDel="00000000" w:rsidP="00000000" w:rsidRDefault="00000000" w:rsidRPr="00000000" w14:paraId="0000004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responsibility is ultimately encountered locally. Children experience support, neglect, opportunity, and a sense of belonging through the schools, institutions, neighborhoods, and relationships that surround them every day. National vision matters, but care itself is lived at the community level.</w:t>
      </w:r>
    </w:p>
    <w:p w:rsidR="00000000" w:rsidDel="00000000" w:rsidP="00000000" w:rsidRDefault="00000000" w:rsidRPr="00000000" w14:paraId="0000004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Which returns us to the central question: Does your community care about children?</w:t>
      </w: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dependentmediainstitute.org/earth-food-life/" TargetMode="External"/><Relationship Id="rId10" Type="http://schemas.openxmlformats.org/officeDocument/2006/relationships/hyperlink" Target="https://observatory.wiki/" TargetMode="External"/><Relationship Id="rId13" Type="http://schemas.openxmlformats.org/officeDocument/2006/relationships/hyperlink" Target="https://observatory.wiki/Guide_to_Caring_for_Vulnerable_Youth" TargetMode="External"/><Relationship Id="rId12" Type="http://schemas.openxmlformats.org/officeDocument/2006/relationships/hyperlink" Target="https://independentmediainstitut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oksamillion.com/p/Religious-Differences-Between-Artichokes/Colin-Greer/9780983198475" TargetMode="External"/><Relationship Id="rId15" Type="http://schemas.openxmlformats.org/officeDocument/2006/relationships/hyperlink" Target="https://creativecommons.org/licenses/by-nc-sa/4.0/deed.en" TargetMode="External"/><Relationship Id="rId14" Type="http://schemas.openxmlformats.org/officeDocument/2006/relationships/hyperlink" Target="https://observatory.wiki/"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newwf.org/" TargetMode="External"/><Relationship Id="rId18" Type="http://schemas.openxmlformats.org/officeDocument/2006/relationships/footer" Target="footer1.xml"/><Relationship Id="rId7" Type="http://schemas.openxmlformats.org/officeDocument/2006/relationships/hyperlink" Target="https://www.harpercollins.com/products/a-call-to-character-colin-greer" TargetMode="External"/><Relationship Id="rId8" Type="http://schemas.openxmlformats.org/officeDocument/2006/relationships/hyperlink" Target="https://eric.ed.gov/?id=ED276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