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Criminalizing Childhood: When the Justice System Fails America’s Youth</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From child labor to incarceration, U.S. laws often treat youth as disposable rather than nurturing their potential.</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Colin Greer and Reynard Loki</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Bios:</w:t>
      </w:r>
      <w:r w:rsidDel="00000000" w:rsidR="00000000" w:rsidRPr="00000000">
        <w:rPr>
          <w:rtl w:val="0"/>
        </w:rPr>
      </w:r>
    </w:p>
    <w:p w:rsidR="00000000" w:rsidDel="00000000" w:rsidP="00000000" w:rsidRDefault="00000000" w:rsidRPr="00000000" w14:paraId="00000005">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Dr. Colin Greer</w:t>
      </w:r>
      <w:r w:rsidDel="00000000" w:rsidR="00000000" w:rsidRPr="00000000">
        <w:rPr>
          <w:rFonts w:ascii="Times New Roman" w:cs="Times New Roman" w:eastAsia="Times New Roman" w:hAnsi="Times New Roman"/>
          <w:sz w:val="28"/>
          <w:szCs w:val="28"/>
          <w:rtl w:val="0"/>
        </w:rPr>
        <w:t xml:space="preserve"> has served as president of the New World Foundation since 1985. A former Brooklyn College professor, he directed studies on U.S. immigration and urban schooling at Columbia University and CUNY. He has advised national leaders, including First Lady Hillary Clinton and Senator Paul Wellstone. His books include </w:t>
      </w:r>
      <w:hyperlink r:id="rId6">
        <w:r w:rsidDel="00000000" w:rsidR="00000000" w:rsidRPr="00000000">
          <w:rPr>
            <w:rFonts w:ascii="Times New Roman" w:cs="Times New Roman" w:eastAsia="Times New Roman" w:hAnsi="Times New Roman"/>
            <w:i w:val="1"/>
            <w:iCs w:val="1"/>
            <w:color w:val="1155cc"/>
            <w:sz w:val="28"/>
            <w:szCs w:val="28"/>
            <w:u w:val="single"/>
            <w:rtl w:val="0"/>
          </w:rPr>
          <w:t xml:space="preserve">A Call to Character</w:t>
        </w:r>
      </w:hyperlink>
      <w:r w:rsidDel="00000000" w:rsidR="00000000" w:rsidRPr="00000000">
        <w:rPr>
          <w:rFonts w:ascii="Times New Roman" w:cs="Times New Roman" w:eastAsia="Times New Roman" w:hAnsi="Times New Roman"/>
          <w:sz w:val="28"/>
          <w:szCs w:val="28"/>
          <w:rtl w:val="0"/>
        </w:rPr>
        <w:t xml:space="preserve"> and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Choosing Equality</w:t>
        </w:r>
      </w:hyperlink>
      <w:r w:rsidDel="00000000" w:rsidR="00000000" w:rsidRPr="00000000">
        <w:rPr>
          <w:rFonts w:ascii="Times New Roman" w:cs="Times New Roman" w:eastAsia="Times New Roman" w:hAnsi="Times New Roman"/>
          <w:sz w:val="28"/>
          <w:szCs w:val="28"/>
          <w:rtl w:val="0"/>
        </w:rPr>
        <w:t xml:space="preserve">, winner of the ALA’s Eli M. Oboler Award. A poet and playwright, his work has appeared in Transfer, Hanging Loose, Tikkun, and Kosmos. His plays, including </w:t>
      </w:r>
      <w:r w:rsidDel="00000000" w:rsidR="00000000" w:rsidRPr="00000000">
        <w:rPr>
          <w:rFonts w:ascii="Times New Roman" w:cs="Times New Roman" w:eastAsia="Times New Roman" w:hAnsi="Times New Roman"/>
          <w:i w:val="1"/>
          <w:iCs w:val="1"/>
          <w:sz w:val="28"/>
          <w:szCs w:val="28"/>
          <w:rtl w:val="0"/>
        </w:rPr>
        <w:t xml:space="preserve">Imagining Heschel</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iCs w:val="1"/>
          <w:sz w:val="28"/>
          <w:szCs w:val="28"/>
          <w:rtl w:val="0"/>
        </w:rPr>
        <w:t xml:space="preserve">Spinoza’s Solitude</w:t>
      </w:r>
      <w:r w:rsidDel="00000000" w:rsidR="00000000" w:rsidRPr="00000000">
        <w:rPr>
          <w:rFonts w:ascii="Times New Roman" w:cs="Times New Roman" w:eastAsia="Times New Roman" w:hAnsi="Times New Roman"/>
          <w:sz w:val="28"/>
          <w:szCs w:val="28"/>
          <w:rtl w:val="0"/>
        </w:rPr>
        <w:t xml:space="preserve">, are collected in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Religious Differences Between Artichokes</w:t>
        </w:r>
      </w:hyperlink>
      <w:r w:rsidDel="00000000" w:rsidR="00000000" w:rsidRPr="00000000">
        <w:rPr>
          <w:rFonts w:ascii="Times New Roman" w:cs="Times New Roman" w:eastAsia="Times New Roman" w:hAnsi="Times New Roman"/>
          <w:sz w:val="28"/>
          <w:szCs w:val="28"/>
          <w:rtl w:val="0"/>
        </w:rPr>
        <w:t xml:space="preserve">, with a preface by Cornel West. His long poem, “Treaty Between Self and Earth,” was performed at Rattlestick Theatre in 2022.</w:t>
      </w:r>
    </w:p>
    <w:p w:rsidR="00000000" w:rsidDel="00000000" w:rsidP="00000000" w:rsidRDefault="00000000" w:rsidRPr="00000000" w14:paraId="00000006">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Reynard Loki</w:t>
      </w:r>
      <w:r w:rsidDel="00000000" w:rsidR="00000000" w:rsidRPr="00000000">
        <w:rPr>
          <w:rFonts w:ascii="Times New Roman" w:cs="Times New Roman" w:eastAsia="Times New Roman" w:hAnsi="Times New Roman"/>
          <w:sz w:val="28"/>
          <w:szCs w:val="28"/>
          <w:rtl w:val="0"/>
        </w:rPr>
        <w:t xml:space="preserve"> is a co-founder of the </w:t>
      </w:r>
      <w:hyperlink r:id="rId9">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 He is a writing fellow and the editor and chief correspondent for </w:t>
      </w:r>
      <w:hyperlink r:id="rId10">
        <w:r w:rsidDel="00000000" w:rsidR="00000000" w:rsidRPr="00000000">
          <w:rPr>
            <w:rFonts w:ascii="Times New Roman" w:cs="Times New Roman" w:eastAsia="Times New Roman" w:hAnsi="Times New Roman"/>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 at the </w:t>
      </w:r>
      <w:hyperlink r:id="rId11">
        <w:r w:rsidDel="00000000" w:rsidR="00000000" w:rsidRPr="00000000">
          <w:rPr>
            <w:rFonts w:ascii="Times New Roman" w:cs="Times New Roman" w:eastAsia="Times New Roman" w:hAnsi="Times New Roman"/>
            <w:color w:val="1155cc"/>
            <w:sz w:val="28"/>
            <w:szCs w:val="28"/>
            <w:u w:val="single"/>
            <w:rtl w:val="0"/>
          </w:rPr>
          <w:t xml:space="preserve">Independent Media Institute</w:t>
        </w:r>
      </w:hyperlink>
      <w:r w:rsidDel="00000000" w:rsidR="00000000" w:rsidRPr="00000000">
        <w:rPr>
          <w:rFonts w:ascii="Times New Roman" w:cs="Times New Roman" w:eastAsia="Times New Roman" w:hAnsi="Times New Roman"/>
          <w:sz w:val="28"/>
          <w:szCs w:val="28"/>
          <w:rtl w:val="0"/>
        </w:rPr>
        <w:t xml:space="preserve">. His work has appeared in Salon, Truthout, EcoWatch, BillMoyers.com, and Yes! Magazine. A former environmental editor at </w:t>
      </w:r>
      <w:r w:rsidDel="00000000" w:rsidR="00000000" w:rsidRPr="00000000">
        <w:rPr>
          <w:rFonts w:ascii="Times New Roman" w:cs="Times New Roman" w:eastAsia="Times New Roman" w:hAnsi="Times New Roman"/>
          <w:i w:val="1"/>
          <w:iCs w:val="1"/>
          <w:sz w:val="28"/>
          <w:szCs w:val="28"/>
          <w:rtl w:val="0"/>
        </w:rPr>
        <w:t xml:space="preserve">AlterNet</w:t>
      </w:r>
      <w:r w:rsidDel="00000000" w:rsidR="00000000" w:rsidRPr="00000000">
        <w:rPr>
          <w:rFonts w:ascii="Times New Roman" w:cs="Times New Roman" w:eastAsia="Times New Roman" w:hAnsi="Times New Roman"/>
          <w:sz w:val="28"/>
          <w:szCs w:val="28"/>
          <w:rtl w:val="0"/>
        </w:rPr>
        <w:t xml:space="preserve">, he writes on the intersections of justice, ecology, and human rights. He serves on the board of the Stuyvesant Park Neighborhood Association, where he supports education programming for local children and families. He regularly speaks with high school students about environmental awareness and community advocacy.</w:t>
      </w:r>
    </w:p>
    <w:p w:rsidR="00000000" w:rsidDel="00000000" w:rsidP="00000000" w:rsidRDefault="00000000" w:rsidRPr="00000000" w14:paraId="00000007">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is the second article in the four-part series </w:t>
      </w:r>
      <w:r w:rsidDel="00000000" w:rsidR="00000000" w:rsidRPr="00000000">
        <w:rPr>
          <w:rFonts w:ascii="Times New Roman" w:cs="Times New Roman" w:eastAsia="Times New Roman" w:hAnsi="Times New Roman"/>
          <w:b w:val="1"/>
          <w:bCs w:val="1"/>
          <w:sz w:val="28"/>
          <w:szCs w:val="28"/>
          <w:rtl w:val="0"/>
        </w:rPr>
        <w:t xml:space="preserve">“</w:t>
      </w:r>
      <w:hyperlink r:id="rId12">
        <w:r w:rsidDel="00000000" w:rsidR="00000000" w:rsidRPr="00000000">
          <w:rPr>
            <w:rFonts w:ascii="Times New Roman" w:cs="Times New Roman" w:eastAsia="Times New Roman" w:hAnsi="Times New Roman"/>
            <w:i w:val="1"/>
            <w:iCs w:val="1"/>
            <w:color w:val="1155cc"/>
            <w:sz w:val="28"/>
            <w:szCs w:val="28"/>
            <w:u w:val="single"/>
            <w:rtl w:val="0"/>
          </w:rPr>
          <w:t xml:space="preserve">Does Your Community Care About Children?</w:t>
        </w:r>
      </w:hyperlink>
      <w:r w:rsidDel="00000000" w:rsidR="00000000" w:rsidRPr="00000000">
        <w:rPr>
          <w:rFonts w:ascii="Times New Roman" w:cs="Times New Roman" w:eastAsia="Times New Roman" w:hAnsi="Times New Roman"/>
          <w:i w:val="1"/>
          <w:iCs w:val="1"/>
          <w:sz w:val="28"/>
          <w:szCs w:val="28"/>
          <w:rtl w:val="0"/>
        </w:rPr>
        <w:t xml:space="preserve">” It was produced by the Independent Media Institute for the </w:t>
      </w:r>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It is licensed under the Creative Commons Attribution-NonCommercial-ShareAlike 4.0 International License (</w:t>
      </w:r>
      <w:hyperlink r:id="rId14">
        <w:r w:rsidDel="00000000" w:rsidR="00000000" w:rsidRPr="00000000">
          <w:rPr>
            <w:rFonts w:ascii="Times New Roman" w:cs="Times New Roman" w:eastAsia="Times New Roman" w:hAnsi="Times New Roman"/>
            <w:i w:val="1"/>
            <w:iCs w:val="1"/>
            <w:color w:val="1155cc"/>
            <w:sz w:val="28"/>
            <w:szCs w:val="28"/>
            <w:u w:val="single"/>
            <w:rtl w:val="0"/>
          </w:rPr>
          <w:t xml:space="preserve">CC BY-NC-SA 4.0</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Education, Human Rights, Politics</w:t>
      </w:r>
    </w:p>
    <w:p w:rsidR="00000000" w:rsidDel="00000000" w:rsidP="00000000" w:rsidRDefault="00000000" w:rsidRPr="00000000" w14:paraId="00000009">
      <w:pPr>
        <w:spacing w:after="240" w:before="240" w:lineRule="auto"/>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 </w:t>
      </w: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[Editor’s Note:</w:t>
      </w:r>
      <w:r w:rsidDel="00000000" w:rsidR="00000000" w:rsidRPr="00000000">
        <w:rPr>
          <w:rFonts w:ascii="Times New Roman" w:cs="Times New Roman" w:eastAsia="Times New Roman" w:hAnsi="Times New Roman"/>
          <w:i w:val="1"/>
          <w:iCs w:val="1"/>
          <w:sz w:val="28"/>
          <w:szCs w:val="28"/>
          <w:rtl w:val="0"/>
        </w:rPr>
        <w:t xml:space="preserve"> This article is the second installment of “Does Your Community Care About Children?”, a four-part series by Colin Greer and Reynard Loki that examines overlapping crises facing vulnerable youth in America—including poverty, child labor, juvenile justice, immigration enforcement, and foster care—and highlights how these systems can criminalize, exploit, or neglect children instead of supporting them. The </w:t>
      </w:r>
      <w:hyperlink r:id="rId15">
        <w:r w:rsidDel="00000000" w:rsidR="00000000" w:rsidRPr="00000000">
          <w:rPr>
            <w:rFonts w:ascii="Times New Roman" w:cs="Times New Roman" w:eastAsia="Times New Roman" w:hAnsi="Times New Roman"/>
            <w:i w:val="1"/>
            <w:iCs w:val="1"/>
            <w:color w:val="1155cc"/>
            <w:sz w:val="28"/>
            <w:szCs w:val="28"/>
            <w:u w:val="single"/>
            <w:rtl w:val="0"/>
          </w:rPr>
          <w:t xml:space="preserve">first installment</w:t>
        </w:r>
      </w:hyperlink>
      <w:r w:rsidDel="00000000" w:rsidR="00000000" w:rsidRPr="00000000">
        <w:rPr>
          <w:rFonts w:ascii="Times New Roman" w:cs="Times New Roman" w:eastAsia="Times New Roman" w:hAnsi="Times New Roman"/>
          <w:i w:val="1"/>
          <w:iCs w:val="1"/>
          <w:sz w:val="28"/>
          <w:szCs w:val="28"/>
          <w:rtl w:val="0"/>
        </w:rPr>
        <w:t xml:space="preserve"> explored how systemic neglect and early childhood deprivation—through inadequate housing, limited access to healthcare, and under-resourced schools—affect children’s development and long-term well-being. This installment emphasizes poverty as the foundational condition shaping children’s experiences, explores how youth are treated as victims or blamed as criminals, and investigates the potential of communities to intervene through mentorship, structured work opportunities, and civic oversight. Subsequent articles examine health, education, and broader policy solutions. Together, the series connects structural failures with practical, values-driven strategies, offering a call to responsibility, attention, and collective action for a more just future.]</w:t>
      </w:r>
    </w:p>
    <w:p w:rsidR="00000000" w:rsidDel="00000000" w:rsidP="00000000" w:rsidRDefault="00000000" w:rsidRPr="00000000" w14:paraId="0000000C">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4n6yetm2r24m" w:id="0"/>
      <w:bookmarkEnd w:id="0"/>
      <w:r w:rsidDel="00000000" w:rsidR="00000000" w:rsidRPr="00000000">
        <w:rPr>
          <w:rFonts w:ascii="Times New Roman" w:cs="Times New Roman" w:eastAsia="Times New Roman" w:hAnsi="Times New Roman"/>
          <w:b w:val="1"/>
          <w:bCs w:val="1"/>
          <w:sz w:val="28"/>
          <w:szCs w:val="28"/>
          <w:rtl w:val="0"/>
        </w:rPr>
        <w:t xml:space="preserve">Introduction: When “Protection” Becomes Punishment</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your community care about children? This deceptively simple question carries profound moral, social, and civic weight. Across the United States, children are too often treated not as developing citizens deserving care and opportunity, but as problems to be managed. Systems meant to safeguard youth—juvenile justice, labor laws, immigration enforcement, and foster care—can instead respond with punishment, neglect, or harm. Children bear the consequences of policies and practices they did not create, producing predictable cycles of disadvantage.</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Poverty is the underlying condition shaping these outcomes. It is more than a statistic or isolated hardship—it is the framework under which children experience multiple forms of structural deprivation. Children growing up in economically marginalized neighborhoods face limited access to healthcare, gaps in educational opportunities, hazardous work conditions, and heightened interaction with punitive systems. Extreme poverty, in particular, </w:t>
      </w:r>
      <w:hyperlink r:id="rId16">
        <w:r w:rsidDel="00000000" w:rsidR="00000000" w:rsidRPr="00000000">
          <w:rPr>
            <w:rFonts w:ascii="Times New Roman" w:cs="Times New Roman" w:eastAsia="Times New Roman" w:hAnsi="Times New Roman"/>
            <w:color w:val="1155cc"/>
            <w:sz w:val="28"/>
            <w:szCs w:val="28"/>
            <w:u w:val="single"/>
            <w:rtl w:val="0"/>
          </w:rPr>
          <w:t xml:space="preserve">dictates the parameters of possibility from the earliest years</w:t>
        </w:r>
      </w:hyperlink>
      <w:r w:rsidDel="00000000" w:rsidR="00000000" w:rsidRPr="00000000">
        <w:rPr>
          <w:rFonts w:ascii="Times New Roman" w:cs="Times New Roman" w:eastAsia="Times New Roman" w:hAnsi="Times New Roman"/>
          <w:sz w:val="28"/>
          <w:szCs w:val="28"/>
          <w:rtl w:val="0"/>
        </w:rPr>
        <w:t xml:space="preserve">. While Black, Brown, and Indigenous children are </w:t>
      </w:r>
      <w:hyperlink r:id="rId17">
        <w:r w:rsidDel="00000000" w:rsidR="00000000" w:rsidRPr="00000000">
          <w:rPr>
            <w:rFonts w:ascii="Times New Roman" w:cs="Times New Roman" w:eastAsia="Times New Roman" w:hAnsi="Times New Roman"/>
            <w:color w:val="1155cc"/>
            <w:sz w:val="28"/>
            <w:szCs w:val="28"/>
            <w:u w:val="single"/>
            <w:rtl w:val="0"/>
          </w:rPr>
          <w:t xml:space="preserve">disproportionately affected</w:t>
        </w:r>
      </w:hyperlink>
      <w:r w:rsidDel="00000000" w:rsidR="00000000" w:rsidRPr="00000000">
        <w:rPr>
          <w:rFonts w:ascii="Times New Roman" w:cs="Times New Roman" w:eastAsia="Times New Roman" w:hAnsi="Times New Roman"/>
          <w:sz w:val="28"/>
          <w:szCs w:val="28"/>
          <w:rtl w:val="0"/>
        </w:rPr>
        <w:t xml:space="preserve">, poverty touches children of all races, showing that structural inequity—not race alone—drives risk.</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Communities frequently fail children across five </w:t>
      </w:r>
      <w:r w:rsidDel="00000000" w:rsidR="00000000" w:rsidRPr="00000000">
        <w:rPr>
          <w:rFonts w:ascii="Times New Roman" w:cs="Times New Roman" w:eastAsia="Times New Roman" w:hAnsi="Times New Roman"/>
          <w:sz w:val="28"/>
          <w:szCs w:val="28"/>
          <w:rtl w:val="0"/>
        </w:rPr>
        <w:t xml:space="preserve">sectors of their lived experience</w:t>
      </w:r>
      <w:r w:rsidDel="00000000" w:rsidR="00000000" w:rsidRPr="00000000">
        <w:rPr>
          <w:rFonts w:ascii="Times New Roman" w:cs="Times New Roman" w:eastAsia="Times New Roman" w:hAnsi="Times New Roman"/>
          <w:sz w:val="28"/>
          <w:szCs w:val="28"/>
          <w:rtl w:val="0"/>
        </w:rPr>
        <w:t xml:space="preserve">: ages of criminal responsibility, juvenile detention, child labor, immigration enforcement, and foster care. Policies in each area combine with economic and social conditions to limit opportunity and perpetuate harm. Examining these systems side by side reveals a pattern: children most at risk are those whose families, schools, and communities cannot buffer against structural deprivation. International comparisons demonstrate that the U.S. approach is a policy choice, not an inevitability. Countries like Norway and Sweden prioritize education, family, and social services rather than criminalization, showing that alternative paths are possible, practical, and effective.</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Caring for children requires coordinated action. Families, institutions, and communities must recognize that attention, guidance, and structured opportunity are among the most effective forms of protection. Adults—whether educators, mentors, neighbors, or civic leaders—can prevent childhood from being criminalized, exploited, or neglected.</w:t>
      </w:r>
    </w:p>
    <w:p w:rsidR="00000000" w:rsidDel="00000000" w:rsidP="00000000" w:rsidRDefault="00000000" w:rsidRPr="00000000" w14:paraId="00000011">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rPr>
          <w:rFonts w:ascii="Times New Roman" w:cs="Times New Roman" w:eastAsia="Times New Roman" w:hAnsi="Times New Roman"/>
          <w:b w:val="1"/>
          <w:bCs w:val="1"/>
          <w:sz w:val="28"/>
          <w:szCs w:val="28"/>
        </w:rPr>
      </w:pPr>
      <w:bookmarkStart w:colFirst="0" w:colLast="0" w:name="_r2n9kk4e16xe" w:id="1"/>
      <w:bookmarkEnd w:id="1"/>
      <w:r w:rsidDel="00000000" w:rsidR="00000000" w:rsidRPr="00000000">
        <w:rPr>
          <w:rFonts w:ascii="Times New Roman" w:cs="Times New Roman" w:eastAsia="Times New Roman" w:hAnsi="Times New Roman"/>
          <w:b w:val="1"/>
          <w:bCs w:val="1"/>
          <w:sz w:val="28"/>
          <w:szCs w:val="28"/>
          <w:rtl w:val="0"/>
        </w:rPr>
        <w:t xml:space="preserve">Criminalization and Detention of Youth</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much of the U.S., children are criminalized at shockingly young ages. In North Carolina, children </w:t>
      </w:r>
      <w:hyperlink r:id="rId18">
        <w:r w:rsidDel="00000000" w:rsidR="00000000" w:rsidRPr="00000000">
          <w:rPr>
            <w:rFonts w:ascii="Times New Roman" w:cs="Times New Roman" w:eastAsia="Times New Roman" w:hAnsi="Times New Roman"/>
            <w:color w:val="1155cc"/>
            <w:sz w:val="28"/>
            <w:szCs w:val="28"/>
            <w:u w:val="single"/>
            <w:rtl w:val="0"/>
          </w:rPr>
          <w:t xml:space="preserve">as young as six</w:t>
        </w:r>
      </w:hyperlink>
      <w:hyperlink r:id="rId19">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can technically be held responsible for criminal behavior. In Rutherford County, Tennessee, elementary‑aged children—</w:t>
      </w:r>
      <w:hyperlink r:id="rId20">
        <w:r w:rsidDel="00000000" w:rsidR="00000000" w:rsidRPr="00000000">
          <w:rPr>
            <w:rFonts w:ascii="Times New Roman" w:cs="Times New Roman" w:eastAsia="Times New Roman" w:hAnsi="Times New Roman"/>
            <w:color w:val="1155cc"/>
            <w:sz w:val="28"/>
            <w:szCs w:val="28"/>
            <w:u w:val="single"/>
            <w:rtl w:val="0"/>
          </w:rPr>
          <w:t xml:space="preserve">some as young as seven</w:t>
        </w:r>
      </w:hyperlink>
      <w:r w:rsidDel="00000000" w:rsidR="00000000" w:rsidRPr="00000000">
        <w:rPr>
          <w:rFonts w:ascii="Times New Roman" w:cs="Times New Roman" w:eastAsia="Times New Roman" w:hAnsi="Times New Roman"/>
          <w:sz w:val="28"/>
          <w:szCs w:val="28"/>
          <w:rtl w:val="0"/>
        </w:rPr>
        <w:t xml:space="preserve">—were taken into custody after watching or being near a minor scuffle, with authorities charging them under a ‘criminal responsibility’ theory that did not reflect an actual crime, underscoring how early criminalization can reach children based on proximity rather than conduct. Arrests of young children signal a community that views youth not as developing citizens but as problems to control.</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Racial and disability disparities </w:t>
      </w:r>
      <w:r w:rsidDel="00000000" w:rsidR="00000000" w:rsidRPr="00000000">
        <w:rPr>
          <w:rFonts w:ascii="Times New Roman" w:cs="Times New Roman" w:eastAsia="Times New Roman" w:hAnsi="Times New Roman"/>
          <w:sz w:val="28"/>
          <w:szCs w:val="28"/>
          <w:rtl w:val="0"/>
        </w:rPr>
        <w:t xml:space="preserve">exacerbate</w:t>
      </w:r>
      <w:r w:rsidDel="00000000" w:rsidR="00000000" w:rsidRPr="00000000">
        <w:rPr>
          <w:rFonts w:ascii="Times New Roman" w:cs="Times New Roman" w:eastAsia="Times New Roman" w:hAnsi="Times New Roman"/>
          <w:sz w:val="28"/>
          <w:szCs w:val="28"/>
          <w:rtl w:val="0"/>
        </w:rPr>
        <w:t xml:space="preserve"> these effects. In 2017–18, Native Hawaiian/Pacific Islander, Black, and American Indian/Alaska Native students were arrested at rates </w:t>
      </w:r>
      <w:hyperlink r:id="rId21">
        <w:r w:rsidDel="00000000" w:rsidR="00000000" w:rsidRPr="00000000">
          <w:rPr>
            <w:rFonts w:ascii="Times New Roman" w:cs="Times New Roman" w:eastAsia="Times New Roman" w:hAnsi="Times New Roman"/>
            <w:color w:val="1155cc"/>
            <w:sz w:val="28"/>
            <w:szCs w:val="28"/>
            <w:u w:val="single"/>
            <w:rtl w:val="0"/>
          </w:rPr>
          <w:t xml:space="preserve">two to three times higher</w:t>
        </w:r>
      </w:hyperlink>
      <w:hyperlink r:id="rId22">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than white students. In 2020, law enforcement agencies made an estimated </w:t>
      </w:r>
      <w:hyperlink r:id="rId23">
        <w:r w:rsidDel="00000000" w:rsidR="00000000" w:rsidRPr="00000000">
          <w:rPr>
            <w:rFonts w:ascii="Times New Roman" w:cs="Times New Roman" w:eastAsia="Times New Roman" w:hAnsi="Times New Roman"/>
            <w:color w:val="1155cc"/>
            <w:sz w:val="28"/>
            <w:szCs w:val="28"/>
            <w:u w:val="single"/>
            <w:rtl w:val="0"/>
          </w:rPr>
          <w:t xml:space="preserve">424,300 arrests</w:t>
        </w:r>
      </w:hyperlink>
      <w:hyperlink r:id="rId24">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of persons under 18. Children from impoverished neighborhoods are disproportionately caught in these systems, where families and schools often lack resources to intervene effectively.</w:t>
      </w:r>
    </w:p>
    <w:p w:rsidR="00000000" w:rsidDel="00000000" w:rsidP="00000000" w:rsidRDefault="00000000" w:rsidRPr="00000000" w14:paraId="00000014">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By contrast, Finland sets the </w:t>
      </w:r>
      <w:hyperlink r:id="rId25">
        <w:r w:rsidDel="00000000" w:rsidR="00000000" w:rsidRPr="00000000">
          <w:rPr>
            <w:rFonts w:ascii="Times New Roman" w:cs="Times New Roman" w:eastAsia="Times New Roman" w:hAnsi="Times New Roman"/>
            <w:color w:val="1155cc"/>
            <w:sz w:val="28"/>
            <w:szCs w:val="28"/>
            <w:u w:val="single"/>
            <w:rtl w:val="0"/>
          </w:rPr>
          <w:t xml:space="preserve">minimum age of criminal responsibility at 15</w:t>
        </w:r>
      </w:hyperlink>
      <w:r w:rsidDel="00000000" w:rsidR="00000000" w:rsidRPr="00000000">
        <w:rPr>
          <w:rFonts w:ascii="Times New Roman" w:cs="Times New Roman" w:eastAsia="Times New Roman" w:hAnsi="Times New Roman"/>
          <w:sz w:val="28"/>
          <w:szCs w:val="28"/>
          <w:rtl w:val="0"/>
        </w:rPr>
        <w:t xml:space="preserve">, with younger children handled through social welfare. These international comparisons make clear that early criminalization is a policy choice rather than an inevitability. Communities that respond with punitive measures risk creating cycles of trauma and neglect.</w:t>
      </w: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children make mistakes, communities can choose to provide guidance or impose confinement. U.S. juvenile detention leans toward punishment: children may be placed in secure facilities for minor offenses such as truancy, shoplifting, or skipping school. Solitary confinement, still legal in some states, inflicts lasting psychological harm. About </w:t>
      </w:r>
      <w:hyperlink r:id="rId26">
        <w:r w:rsidDel="00000000" w:rsidR="00000000" w:rsidRPr="00000000">
          <w:rPr>
            <w:rFonts w:ascii="Times New Roman" w:cs="Times New Roman" w:eastAsia="Times New Roman" w:hAnsi="Times New Roman"/>
            <w:color w:val="1155cc"/>
            <w:sz w:val="28"/>
            <w:szCs w:val="28"/>
            <w:u w:val="single"/>
            <w:rtl w:val="0"/>
          </w:rPr>
          <w:t xml:space="preserve">70 percent </w:t>
        </w:r>
      </w:hyperlink>
      <w:r w:rsidDel="00000000" w:rsidR="00000000" w:rsidRPr="00000000">
        <w:rPr>
          <w:rFonts w:ascii="Times New Roman" w:cs="Times New Roman" w:eastAsia="Times New Roman" w:hAnsi="Times New Roman"/>
          <w:sz w:val="28"/>
          <w:szCs w:val="28"/>
          <w:rtl w:val="0"/>
        </w:rPr>
        <w:t xml:space="preserve">of youth in detention have mental health diagnoses, including trauma, anxiety, and depression.</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27">
        <w:r w:rsidDel="00000000" w:rsidR="00000000" w:rsidRPr="00000000">
          <w:rPr>
            <w:rFonts w:ascii="Times New Roman" w:cs="Times New Roman" w:eastAsia="Times New Roman" w:hAnsi="Times New Roman"/>
            <w:color w:val="1155cc"/>
            <w:sz w:val="28"/>
            <w:szCs w:val="28"/>
            <w:u w:val="single"/>
            <w:rtl w:val="0"/>
          </w:rPr>
          <w:t xml:space="preserve">school-to-prison pipeline</w:t>
        </w:r>
      </w:hyperlink>
      <w:hyperlink r:id="rId28">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illustrates how disciplinary actions often funnel children into the criminal justice system. Once in the juvenile system, they may face detention and adult incarceration, compounding disadvantage—especially for youth from impoverished communities. </w:t>
      </w:r>
      <w:hyperlink r:id="rId29">
        <w:r w:rsidDel="00000000" w:rsidR="00000000" w:rsidRPr="00000000">
          <w:rPr>
            <w:rFonts w:ascii="Times New Roman" w:cs="Times New Roman" w:eastAsia="Times New Roman" w:hAnsi="Times New Roman"/>
            <w:color w:val="1155cc"/>
            <w:sz w:val="28"/>
            <w:szCs w:val="28"/>
            <w:u w:val="single"/>
            <w:rtl w:val="0"/>
          </w:rPr>
          <w:t xml:space="preserve">Children with disabilities</w:t>
        </w:r>
      </w:hyperlink>
      <w:hyperlink r:id="rId30">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and </w:t>
      </w:r>
      <w:hyperlink r:id="rId31">
        <w:r w:rsidDel="00000000" w:rsidR="00000000" w:rsidRPr="00000000">
          <w:rPr>
            <w:rFonts w:ascii="Times New Roman" w:cs="Times New Roman" w:eastAsia="Times New Roman" w:hAnsi="Times New Roman"/>
            <w:color w:val="1155cc"/>
            <w:sz w:val="28"/>
            <w:szCs w:val="28"/>
            <w:u w:val="single"/>
            <w:rtl w:val="0"/>
          </w:rPr>
          <w:t xml:space="preserve">Black, Indigenous, and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Latinx</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 youth</w:t>
        </w:r>
      </w:hyperlink>
      <w:hyperlink r:id="rId34">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are disproportionately represented.</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youths arrested for minor offenses like truancy experience long hours of isolation, minimal educational programming, and insufficient counseling, which research links to anxiety, trauma responses, and </w:t>
      </w:r>
      <w:hyperlink r:id="rId35">
        <w:r w:rsidDel="00000000" w:rsidR="00000000" w:rsidRPr="00000000">
          <w:rPr>
            <w:rFonts w:ascii="Times New Roman" w:cs="Times New Roman" w:eastAsia="Times New Roman" w:hAnsi="Times New Roman"/>
            <w:color w:val="1155cc"/>
            <w:sz w:val="28"/>
            <w:szCs w:val="28"/>
            <w:u w:val="single"/>
            <w:rtl w:val="0"/>
          </w:rPr>
          <w:t xml:space="preserve">reluctance to return to school</w:t>
        </w:r>
      </w:hyperlink>
      <w:r w:rsidDel="00000000" w:rsidR="00000000" w:rsidRPr="00000000">
        <w:rPr>
          <w:rFonts w:ascii="Times New Roman" w:cs="Times New Roman" w:eastAsia="Times New Roman" w:hAnsi="Times New Roman"/>
          <w:sz w:val="28"/>
          <w:szCs w:val="28"/>
          <w:rtl w:val="0"/>
        </w:rPr>
        <w:t xml:space="preserve">. Research shows that </w:t>
      </w:r>
      <w:hyperlink r:id="rId36">
        <w:r w:rsidDel="00000000" w:rsidR="00000000" w:rsidRPr="00000000">
          <w:rPr>
            <w:rFonts w:ascii="Times New Roman" w:cs="Times New Roman" w:eastAsia="Times New Roman" w:hAnsi="Times New Roman"/>
            <w:color w:val="1155cc"/>
            <w:sz w:val="28"/>
            <w:szCs w:val="28"/>
            <w:u w:val="single"/>
            <w:rtl w:val="0"/>
          </w:rPr>
          <w:t xml:space="preserve">extended juvenile detention disrupts education</w:t>
        </w:r>
      </w:hyperlink>
      <w:r w:rsidDel="00000000" w:rsidR="00000000" w:rsidRPr="00000000">
        <w:rPr>
          <w:rFonts w:ascii="Times New Roman" w:cs="Times New Roman" w:eastAsia="Times New Roman" w:hAnsi="Times New Roman"/>
          <w:sz w:val="28"/>
          <w:szCs w:val="28"/>
          <w:rtl w:val="0"/>
        </w:rPr>
        <w:t xml:space="preserve">, limits access to meaningful schooling, and is associated with higher rates of anxiety, depression, and other mental health challenges. After release, many youths are more likely to disengage from school and struggle with psychological harms that can make returning feel daunting and traumatic.</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Evidence-based interventions can improve outcomes dramatically. Programs such as </w:t>
      </w:r>
      <w:hyperlink r:id="rId37">
        <w:r w:rsidDel="00000000" w:rsidR="00000000" w:rsidRPr="00000000">
          <w:rPr>
            <w:rFonts w:ascii="Times New Roman" w:cs="Times New Roman" w:eastAsia="Times New Roman" w:hAnsi="Times New Roman"/>
            <w:color w:val="1155cc"/>
            <w:sz w:val="28"/>
            <w:szCs w:val="28"/>
            <w:u w:val="single"/>
            <w:rtl w:val="0"/>
          </w:rPr>
          <w:t xml:space="preserve">Multisystemic Therapy</w:t>
        </w:r>
      </w:hyperlink>
      <w:hyperlink r:id="rId38">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and </w:t>
      </w:r>
      <w:hyperlink r:id="rId39">
        <w:r w:rsidDel="00000000" w:rsidR="00000000" w:rsidRPr="00000000">
          <w:rPr>
            <w:rFonts w:ascii="Times New Roman" w:cs="Times New Roman" w:eastAsia="Times New Roman" w:hAnsi="Times New Roman"/>
            <w:color w:val="1155cc"/>
            <w:sz w:val="28"/>
            <w:szCs w:val="28"/>
            <w:u w:val="single"/>
            <w:rtl w:val="0"/>
          </w:rPr>
          <w:t xml:space="preserve">Functional Family Therapy</w:t>
        </w:r>
      </w:hyperlink>
      <w:hyperlink r:id="rId40">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provide family-centered approaches to reduce recidivism. </w:t>
      </w:r>
      <w:hyperlink r:id="rId41">
        <w:r w:rsidDel="00000000" w:rsidR="00000000" w:rsidRPr="00000000">
          <w:rPr>
            <w:rFonts w:ascii="Times New Roman" w:cs="Times New Roman" w:eastAsia="Times New Roman" w:hAnsi="Times New Roman"/>
            <w:color w:val="1155cc"/>
            <w:sz w:val="28"/>
            <w:szCs w:val="28"/>
            <w:u w:val="single"/>
            <w:rtl w:val="0"/>
          </w:rPr>
          <w:t xml:space="preserve">Youth Advocate Programs and credible messenger mentoring</w:t>
        </w:r>
      </w:hyperlink>
      <w:hyperlink r:id="rId42">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pair at-risk youth with adult mentors, fostering guidance, trust, and accountability. </w:t>
      </w:r>
      <w:hyperlink r:id="rId43">
        <w:r w:rsidDel="00000000" w:rsidR="00000000" w:rsidRPr="00000000">
          <w:rPr>
            <w:rFonts w:ascii="Times New Roman" w:cs="Times New Roman" w:eastAsia="Times New Roman" w:hAnsi="Times New Roman"/>
            <w:color w:val="1155cc"/>
            <w:sz w:val="28"/>
            <w:szCs w:val="28"/>
            <w:u w:val="single"/>
            <w:rtl w:val="0"/>
          </w:rPr>
          <w:t xml:space="preserve">Restorative justice interventions</w:t>
        </w:r>
      </w:hyperlink>
      <w:hyperlink r:id="rId44">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focus on </w:t>
      </w:r>
      <w:hyperlink r:id="rId45">
        <w:r w:rsidDel="00000000" w:rsidR="00000000" w:rsidRPr="00000000">
          <w:rPr>
            <w:rFonts w:ascii="Times New Roman" w:cs="Times New Roman" w:eastAsia="Times New Roman" w:hAnsi="Times New Roman"/>
            <w:color w:val="1155cc"/>
            <w:sz w:val="28"/>
            <w:szCs w:val="28"/>
            <w:u w:val="single"/>
            <w:rtl w:val="0"/>
          </w:rPr>
          <w:t xml:space="preserve">repairing harm</w:t>
        </w:r>
      </w:hyperlink>
      <w:r w:rsidDel="00000000" w:rsidR="00000000" w:rsidRPr="00000000">
        <w:rPr>
          <w:rFonts w:ascii="Times New Roman" w:cs="Times New Roman" w:eastAsia="Times New Roman" w:hAnsi="Times New Roman"/>
          <w:sz w:val="28"/>
          <w:szCs w:val="28"/>
          <w:rtl w:val="0"/>
        </w:rPr>
        <w:t xml:space="preserve"> rather than imposing punishment and have been shown to reduce repeat offenses. </w:t>
      </w:r>
      <w:hyperlink r:id="rId46">
        <w:r w:rsidDel="00000000" w:rsidR="00000000" w:rsidRPr="00000000">
          <w:rPr>
            <w:rFonts w:ascii="Times New Roman" w:cs="Times New Roman" w:eastAsia="Times New Roman" w:hAnsi="Times New Roman"/>
            <w:color w:val="1155cc"/>
            <w:sz w:val="28"/>
            <w:szCs w:val="28"/>
            <w:u w:val="single"/>
            <w:rtl w:val="0"/>
          </w:rPr>
          <w:t xml:space="preserve">Wraparound services</w:t>
        </w:r>
      </w:hyperlink>
      <w:r w:rsidDel="00000000" w:rsidR="00000000" w:rsidRPr="00000000">
        <w:rPr>
          <w:rFonts w:ascii="Times New Roman" w:cs="Times New Roman" w:eastAsia="Times New Roman" w:hAnsi="Times New Roman"/>
          <w:sz w:val="28"/>
          <w:szCs w:val="28"/>
          <w:rtl w:val="0"/>
        </w:rPr>
        <w:t xml:space="preserve"> provide individualized plans for education, mental health, and employment.</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examples show alternatives. Norway, the Netherlands, and Finland prioritize rehabilitation: secure facilities are rare, stays are short, and youth have access to robust social, educational, and psychological services. Children are treated as developing individuals, not criminals. Communities also intervene informally. Adults who mentor or provide structured work opportunities—</w:t>
      </w:r>
      <w:r w:rsidDel="00000000" w:rsidR="00000000" w:rsidRPr="00000000">
        <w:rPr>
          <w:rFonts w:ascii="Times New Roman" w:cs="Times New Roman" w:eastAsia="Times New Roman" w:hAnsi="Times New Roman"/>
          <w:sz w:val="28"/>
          <w:szCs w:val="28"/>
          <w:rtl w:val="0"/>
        </w:rPr>
        <w:t xml:space="preserve">restoring the legendary neighborhood</w:t>
      </w:r>
      <w:r w:rsidDel="00000000" w:rsidR="00000000" w:rsidRPr="00000000">
        <w:rPr>
          <w:rFonts w:ascii="Times New Roman" w:cs="Times New Roman" w:eastAsia="Times New Roman" w:hAnsi="Times New Roman"/>
          <w:sz w:val="28"/>
          <w:szCs w:val="28"/>
          <w:rtl w:val="0"/>
        </w:rPr>
        <w:t xml:space="preserve"> “stoop”—offer protective oversight, preventing trajectories toward confinement. Early engagement, attention, and investment reduce reliance on punitive systems.</w:t>
      </w:r>
    </w:p>
    <w:p w:rsidR="00000000" w:rsidDel="00000000" w:rsidP="00000000" w:rsidRDefault="00000000" w:rsidRPr="00000000" w14:paraId="0000001A">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jknmkxosc9pf" w:id="2"/>
      <w:bookmarkEnd w:id="2"/>
      <w:r w:rsidDel="00000000" w:rsidR="00000000" w:rsidRPr="00000000">
        <w:rPr>
          <w:rFonts w:ascii="Times New Roman" w:cs="Times New Roman" w:eastAsia="Times New Roman" w:hAnsi="Times New Roman"/>
          <w:b w:val="1"/>
          <w:bCs w:val="1"/>
          <w:sz w:val="28"/>
          <w:szCs w:val="28"/>
          <w:rtl w:val="0"/>
        </w:rPr>
        <w:t xml:space="preserve">Exploitation and Neglect Across Work, Migration, and Foster Care</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federal laws, child labor persists in the U.S. In fiscal year 2024, the U.S. Department of Labor documented </w:t>
      </w:r>
      <w:hyperlink r:id="rId47">
        <w:r w:rsidDel="00000000" w:rsidR="00000000" w:rsidRPr="00000000">
          <w:rPr>
            <w:rFonts w:ascii="Times New Roman" w:cs="Times New Roman" w:eastAsia="Times New Roman" w:hAnsi="Times New Roman"/>
            <w:color w:val="1155cc"/>
            <w:sz w:val="28"/>
            <w:szCs w:val="28"/>
            <w:u w:val="single"/>
            <w:rtl w:val="0"/>
          </w:rPr>
          <w:t xml:space="preserve">736 cases</w:t>
        </w:r>
      </w:hyperlink>
      <w:r w:rsidDel="00000000" w:rsidR="00000000" w:rsidRPr="00000000">
        <w:rPr>
          <w:rFonts w:ascii="Times New Roman" w:cs="Times New Roman" w:eastAsia="Times New Roman" w:hAnsi="Times New Roman"/>
          <w:sz w:val="28"/>
          <w:szCs w:val="28"/>
          <w:rtl w:val="0"/>
        </w:rPr>
        <w:t xml:space="preserve"> of child labor violations, involving thousands of minors in hazardous work ranging from agriculture and meatpacking to domestic labor and industrial settings. In 2024, for example, the Department of Labor </w:t>
      </w:r>
      <w:hyperlink r:id="rId48">
        <w:r w:rsidDel="00000000" w:rsidR="00000000" w:rsidRPr="00000000">
          <w:rPr>
            <w:rFonts w:ascii="Times New Roman" w:cs="Times New Roman" w:eastAsia="Times New Roman" w:hAnsi="Times New Roman"/>
            <w:color w:val="1155cc"/>
            <w:sz w:val="28"/>
            <w:szCs w:val="28"/>
            <w:u w:val="single"/>
            <w:rtl w:val="0"/>
          </w:rPr>
          <w:t xml:space="preserve">reported</w:t>
        </w:r>
      </w:hyperlink>
      <w:r w:rsidDel="00000000" w:rsidR="00000000" w:rsidRPr="00000000">
        <w:rPr>
          <w:rFonts w:ascii="Times New Roman" w:cs="Times New Roman" w:eastAsia="Times New Roman" w:hAnsi="Times New Roman"/>
          <w:sz w:val="28"/>
          <w:szCs w:val="28"/>
          <w:rtl w:val="0"/>
        </w:rPr>
        <w:t xml:space="preserve"> on federal investigations that found minors—including teens as young as 13—working overnight shifts cleaning meatpacking machinery, such as brisket saws and head splitters, exposing them to hazardous conditions and chemicals while compromising schooling and safety. These situations illustrate the tangible risks behind child labor violations uncovered by the Department of Labor.</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Migrant children, often from economically marginalized households, are </w:t>
      </w:r>
      <w:hyperlink r:id="rId49">
        <w:r w:rsidDel="00000000" w:rsidR="00000000" w:rsidRPr="00000000">
          <w:rPr>
            <w:rFonts w:ascii="Times New Roman" w:cs="Times New Roman" w:eastAsia="Times New Roman" w:hAnsi="Times New Roman"/>
            <w:color w:val="1155cc"/>
            <w:sz w:val="28"/>
            <w:szCs w:val="28"/>
            <w:u w:val="single"/>
            <w:rtl w:val="0"/>
          </w:rPr>
          <w:t xml:space="preserve">especially vulnerable</w:t>
        </w:r>
      </w:hyperlink>
      <w:r w:rsidDel="00000000" w:rsidR="00000000" w:rsidRPr="00000000">
        <w:rPr>
          <w:rFonts w:ascii="Times New Roman" w:cs="Times New Roman" w:eastAsia="Times New Roman" w:hAnsi="Times New Roman"/>
          <w:sz w:val="28"/>
          <w:szCs w:val="28"/>
          <w:rtl w:val="0"/>
        </w:rPr>
        <w:t xml:space="preserve">. Families facing extreme poverty may rely on child earnings, perpetuating cycles where labor substitutes for education. Unsafe conditions, intimidation, and limited legal protections exacerbate risk.</w:t>
      </w:r>
    </w:p>
    <w:p w:rsidR="00000000" w:rsidDel="00000000" w:rsidP="00000000" w:rsidRDefault="00000000" w:rsidRPr="00000000" w14:paraId="0000001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comparisons show alternatives. </w:t>
      </w:r>
      <w:hyperlink r:id="rId50">
        <w:r w:rsidDel="00000000" w:rsidR="00000000" w:rsidRPr="00000000">
          <w:rPr>
            <w:rFonts w:ascii="Times New Roman" w:cs="Times New Roman" w:eastAsia="Times New Roman" w:hAnsi="Times New Roman"/>
            <w:color w:val="1155cc"/>
            <w:sz w:val="28"/>
            <w:szCs w:val="28"/>
            <w:u w:val="single"/>
            <w:rtl w:val="0"/>
          </w:rPr>
          <w:t xml:space="preserve">Germany</w:t>
        </w:r>
      </w:hyperlink>
      <w:hyperlink r:id="rId51">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and the </w:t>
      </w:r>
      <w:hyperlink r:id="rId52">
        <w:r w:rsidDel="00000000" w:rsidR="00000000" w:rsidRPr="00000000">
          <w:rPr>
            <w:rFonts w:ascii="Times New Roman" w:cs="Times New Roman" w:eastAsia="Times New Roman" w:hAnsi="Times New Roman"/>
            <w:color w:val="1155cc"/>
            <w:sz w:val="28"/>
            <w:szCs w:val="28"/>
            <w:u w:val="single"/>
            <w:rtl w:val="0"/>
          </w:rPr>
          <w:t xml:space="preserve">Netherlands </w:t>
        </w:r>
      </w:hyperlink>
      <w:r w:rsidDel="00000000" w:rsidR="00000000" w:rsidRPr="00000000">
        <w:rPr>
          <w:rFonts w:ascii="Times New Roman" w:cs="Times New Roman" w:eastAsia="Times New Roman" w:hAnsi="Times New Roman"/>
          <w:sz w:val="28"/>
          <w:szCs w:val="28"/>
          <w:rtl w:val="0"/>
        </w:rPr>
        <w:t xml:space="preserve">strictly regulate youth work: setting minimum ages, limiting tasks, establishing hours, and requiring supervision. These frameworks protect health, education, and development, demonstrating labor exploitation is a policy choice rather than an inevitability.</w:t>
      </w:r>
    </w:p>
    <w:p w:rsidR="00000000" w:rsidDel="00000000" w:rsidP="00000000" w:rsidRDefault="00000000" w:rsidRPr="00000000" w14:paraId="0000001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Communities can intervene through structured, education-compatible work programs offering safe employment, mentorship, and skill-building. These programs provide income, purpose, and guidance without exposure to hazards, thus fostering civic engagement and resilience.</w:t>
      </w:r>
    </w:p>
    <w:p w:rsidR="00000000" w:rsidDel="00000000" w:rsidP="00000000" w:rsidRDefault="00000000" w:rsidRPr="00000000" w14:paraId="0000001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Federal immigration enforcement often treats youth as security risks rather than children in need of protection. Border Patrol detention, harsh asylum procedures, and family separations expose minors to trauma.</w:t>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2018, a joint ACLU–University of Chicago </w:t>
      </w:r>
      <w:hyperlink r:id="rId53">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found approximately 25 percent of unaccompanied children in Customs and Border Protection custody experienced physical abuse, including sexual assault, stress positions, and beatings. Thousands more were separated from parents, with minimal oversight or access to legal and emotional support.</w:t>
      </w:r>
    </w:p>
    <w:p w:rsidR="00000000" w:rsidDel="00000000" w:rsidP="00000000" w:rsidRDefault="00000000" w:rsidRPr="00000000" w14:paraId="0000002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migrant children come from economically marginalized communities, where families lack resources to buffer migration stress. Poverty, legal precarity, and institutional neglect increase exposure to exploitation, including trafficking.</w:t>
      </w:r>
    </w:p>
    <w:p w:rsidR="00000000" w:rsidDel="00000000" w:rsidP="00000000" w:rsidRDefault="00000000" w:rsidRPr="00000000" w14:paraId="0000002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Internationally, </w:t>
      </w:r>
      <w:hyperlink r:id="rId54">
        <w:r w:rsidDel="00000000" w:rsidR="00000000" w:rsidRPr="00000000">
          <w:rPr>
            <w:rFonts w:ascii="Times New Roman" w:cs="Times New Roman" w:eastAsia="Times New Roman" w:hAnsi="Times New Roman"/>
            <w:color w:val="1155cc"/>
            <w:sz w:val="28"/>
            <w:szCs w:val="28"/>
            <w:u w:val="single"/>
            <w:rtl w:val="0"/>
          </w:rPr>
          <w:t xml:space="preserve">New Zealand</w:t>
        </w:r>
      </w:hyperlink>
      <w:hyperlink r:id="rId55">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and </w:t>
      </w:r>
      <w:hyperlink r:id="rId56">
        <w:r w:rsidDel="00000000" w:rsidR="00000000" w:rsidRPr="00000000">
          <w:rPr>
            <w:rFonts w:ascii="Times New Roman" w:cs="Times New Roman" w:eastAsia="Times New Roman" w:hAnsi="Times New Roman"/>
            <w:color w:val="1155cc"/>
            <w:sz w:val="28"/>
            <w:szCs w:val="28"/>
            <w:u w:val="single"/>
            <w:rtl w:val="0"/>
          </w:rPr>
          <w:t xml:space="preserve">Canada</w:t>
        </w:r>
      </w:hyperlink>
      <w:hyperlink r:id="rId57">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prioritize family reunification and community-based support, providing supervised housing, education, and social integration. Local communities can provide legal aid, mentorship, and </w:t>
      </w:r>
      <w:hyperlink r:id="rId58">
        <w:r w:rsidDel="00000000" w:rsidR="00000000" w:rsidRPr="00000000">
          <w:rPr>
            <w:rFonts w:ascii="Times New Roman" w:cs="Times New Roman" w:eastAsia="Times New Roman" w:hAnsi="Times New Roman"/>
            <w:color w:val="1155cc"/>
            <w:sz w:val="28"/>
            <w:szCs w:val="28"/>
            <w:u w:val="single"/>
            <w:rtl w:val="0"/>
          </w:rPr>
          <w:t xml:space="preserve">trauma-informed education</w:t>
        </w:r>
      </w:hyperlink>
      <w:r w:rsidDel="00000000" w:rsidR="00000000" w:rsidRPr="00000000">
        <w:rPr>
          <w:rFonts w:ascii="Times New Roman" w:cs="Times New Roman" w:eastAsia="Times New Roman" w:hAnsi="Times New Roman"/>
          <w:sz w:val="28"/>
          <w:szCs w:val="28"/>
          <w:rtl w:val="0"/>
        </w:rPr>
        <w:t xml:space="preserve">, offering stability and opportunity even when federal systems fail.</w:t>
      </w:r>
    </w:p>
    <w:p w:rsidR="00000000" w:rsidDel="00000000" w:rsidP="00000000" w:rsidRDefault="00000000" w:rsidRPr="00000000" w14:paraId="0000002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Foster care often fails to provide stability. Youth average three to four placements, undermining attachment and emotional development. Trafficking within foster care illustrates systemic failure: about 40 percent of youth with trafficking experiences reported incidents before the age of 18, and nearly </w:t>
      </w:r>
      <w:hyperlink r:id="rId59">
        <w:r w:rsidDel="00000000" w:rsidR="00000000" w:rsidRPr="00000000">
          <w:rPr>
            <w:rFonts w:ascii="Times New Roman" w:cs="Times New Roman" w:eastAsia="Times New Roman" w:hAnsi="Times New Roman"/>
            <w:color w:val="1155cc"/>
            <w:sz w:val="28"/>
            <w:szCs w:val="28"/>
            <w:u w:val="single"/>
            <w:rtl w:val="0"/>
          </w:rPr>
          <w:t xml:space="preserve">80 percent</w:t>
        </w:r>
      </w:hyperlink>
      <w:r w:rsidDel="00000000" w:rsidR="00000000" w:rsidRPr="00000000">
        <w:rPr>
          <w:rFonts w:ascii="Times New Roman" w:cs="Times New Roman" w:eastAsia="Times New Roman" w:hAnsi="Times New Roman"/>
          <w:sz w:val="28"/>
          <w:szCs w:val="28"/>
          <w:rtl w:val="0"/>
        </w:rPr>
        <w:t xml:space="preserve"> occurred while in foster care.</w:t>
      </w:r>
    </w:p>
    <w:p w:rsidR="00000000" w:rsidDel="00000000" w:rsidP="00000000" w:rsidRDefault="00000000" w:rsidRPr="00000000" w14:paraId="0000002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Vulnerable children—including Black, Native American, and Latinx youth, children with disabilities, and low-income youth—are disproportionately affected. Many who age out at 18 or 21 face homelessness, unemployment, and limited resources.</w:t>
      </w:r>
    </w:p>
    <w:p w:rsidR="00000000" w:rsidDel="00000000" w:rsidP="00000000" w:rsidRDefault="00000000" w:rsidRPr="00000000" w14:paraId="0000002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Internationally, </w:t>
      </w:r>
      <w:hyperlink r:id="rId60">
        <w:r w:rsidDel="00000000" w:rsidR="00000000" w:rsidRPr="00000000">
          <w:rPr>
            <w:rFonts w:ascii="Times New Roman" w:cs="Times New Roman" w:eastAsia="Times New Roman" w:hAnsi="Times New Roman"/>
            <w:color w:val="1155cc"/>
            <w:sz w:val="28"/>
            <w:szCs w:val="28"/>
            <w:u w:val="single"/>
            <w:rtl w:val="0"/>
          </w:rPr>
          <w:t xml:space="preserve">Sweden</w:t>
        </w:r>
      </w:hyperlink>
      <w:hyperlink r:id="rId61">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and </w:t>
      </w:r>
      <w:hyperlink r:id="rId62">
        <w:r w:rsidDel="00000000" w:rsidR="00000000" w:rsidRPr="00000000">
          <w:rPr>
            <w:rFonts w:ascii="Times New Roman" w:cs="Times New Roman" w:eastAsia="Times New Roman" w:hAnsi="Times New Roman"/>
            <w:color w:val="1155cc"/>
            <w:sz w:val="28"/>
            <w:szCs w:val="28"/>
            <w:u w:val="single"/>
            <w:rtl w:val="0"/>
          </w:rPr>
          <w:t xml:space="preserve">Denmark</w:t>
        </w:r>
      </w:hyperlink>
      <w:hyperlink r:id="rId63">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maintain robust foster care systems with stable placements, trained caregivers, and wraparound services, reducing risk and promoting stability. Communities can supplement formal systems through mentorship, nonprofits, and structured guidance, reinforcing protections and improving youth outcomes.</w:t>
      </w:r>
    </w:p>
    <w:p w:rsidR="00000000" w:rsidDel="00000000" w:rsidP="00000000" w:rsidRDefault="00000000" w:rsidRPr="00000000" w14:paraId="00000026">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m2e2avqilgge" w:id="3"/>
      <w:bookmarkEnd w:id="3"/>
      <w:r w:rsidDel="00000000" w:rsidR="00000000" w:rsidRPr="00000000">
        <w:rPr>
          <w:rFonts w:ascii="Times New Roman" w:cs="Times New Roman" w:eastAsia="Times New Roman" w:hAnsi="Times New Roman"/>
          <w:b w:val="1"/>
          <w:bCs w:val="1"/>
          <w:sz w:val="28"/>
          <w:szCs w:val="28"/>
          <w:rtl w:val="0"/>
        </w:rPr>
        <w:t xml:space="preserve">From Punishment to Justice: Patterns and Solutions</w:t>
      </w:r>
    </w:p>
    <w:p w:rsidR="00000000" w:rsidDel="00000000" w:rsidP="00000000" w:rsidRDefault="00000000" w:rsidRPr="00000000" w14:paraId="0000002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juvenile justice, child labor, immigration enforcement, and foster care, children’s vulnerabilities are too often met with punishment rather than support. Austerity, underfunded schools, racial disparities, privatization, and political neglect converge to normalize punitive approaches. International models show that early intervention, family support, and rehabilitation prevent harm, underscoring that criminalization is a choice.</w:t>
      </w:r>
    </w:p>
    <w:p w:rsidR="00000000" w:rsidDel="00000000" w:rsidP="00000000" w:rsidRDefault="00000000" w:rsidRPr="00000000" w14:paraId="0000002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Community attention—the “stoop”—is critical. Volunteer programs, mentorship, civic engagement, and safe work opportunities provide oversight, guidance, and resilience where formal systems fail. For example, </w:t>
      </w:r>
      <w:hyperlink r:id="rId64">
        <w:r w:rsidDel="00000000" w:rsidR="00000000" w:rsidRPr="00000000">
          <w:rPr>
            <w:rFonts w:ascii="Times New Roman" w:cs="Times New Roman" w:eastAsia="Times New Roman" w:hAnsi="Times New Roman"/>
            <w:color w:val="1155cc"/>
            <w:sz w:val="28"/>
            <w:szCs w:val="28"/>
            <w:u w:val="single"/>
            <w:rtl w:val="0"/>
          </w:rPr>
          <w:t xml:space="preserve">credible messenger and mentoring programs</w:t>
        </w:r>
      </w:hyperlink>
      <w:r w:rsidDel="00000000" w:rsidR="00000000" w:rsidRPr="00000000">
        <w:rPr>
          <w:rFonts w:ascii="Times New Roman" w:cs="Times New Roman" w:eastAsia="Times New Roman" w:hAnsi="Times New Roman"/>
          <w:sz w:val="28"/>
          <w:szCs w:val="28"/>
          <w:rtl w:val="0"/>
        </w:rPr>
        <w:t xml:space="preserve"> connect justice‑involved youth with adult mentors and career pathways—including structured employment, apprenticeships, and reentry support. These </w:t>
      </w:r>
      <w:hyperlink r:id="rId65">
        <w:r w:rsidDel="00000000" w:rsidR="00000000" w:rsidRPr="00000000">
          <w:rPr>
            <w:rFonts w:ascii="Times New Roman" w:cs="Times New Roman" w:eastAsia="Times New Roman" w:hAnsi="Times New Roman"/>
            <w:color w:val="1155cc"/>
            <w:sz w:val="28"/>
            <w:szCs w:val="28"/>
            <w:u w:val="single"/>
            <w:rtl w:val="0"/>
          </w:rPr>
          <w:t xml:space="preserve">programs</w:t>
        </w:r>
      </w:hyperlink>
      <w:r w:rsidDel="00000000" w:rsidR="00000000" w:rsidRPr="00000000">
        <w:rPr>
          <w:rFonts w:ascii="Times New Roman" w:cs="Times New Roman" w:eastAsia="Times New Roman" w:hAnsi="Times New Roman"/>
          <w:sz w:val="28"/>
          <w:szCs w:val="28"/>
          <w:rtl w:val="0"/>
        </w:rPr>
        <w:t xml:space="preserve"> have been shown to improve engagement, reduce recidivism, and help young people build skills and confidence as they reintegrate into their communities.</w:t>
      </w:r>
    </w:p>
    <w:p w:rsidR="00000000" w:rsidDel="00000000" w:rsidP="00000000" w:rsidRDefault="00000000" w:rsidRPr="00000000" w14:paraId="0000002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State-supported youth employment programs, like </w:t>
      </w:r>
      <w:hyperlink r:id="rId66">
        <w:r w:rsidDel="00000000" w:rsidR="00000000" w:rsidRPr="00000000">
          <w:rPr>
            <w:rFonts w:ascii="Times New Roman" w:cs="Times New Roman" w:eastAsia="Times New Roman" w:hAnsi="Times New Roman"/>
            <w:color w:val="1155cc"/>
            <w:sz w:val="28"/>
            <w:szCs w:val="28"/>
            <w:u w:val="single"/>
            <w:rtl w:val="0"/>
          </w:rPr>
          <w:t xml:space="preserve">New York’s Summer Youth Employment Program</w:t>
        </w:r>
      </w:hyperlink>
      <w:r w:rsidDel="00000000" w:rsidR="00000000" w:rsidRPr="00000000">
        <w:rPr>
          <w:rtl w:val="0"/>
        </w:rPr>
        <w:t xml:space="preserve">,</w:t>
      </w:r>
      <w:hyperlink r:id="rId67">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place thousands of teens from low‑income families in paid, supervised jobs. Participants gain workplace skills and income without exposure to hazardous conditions, helping build confidence, job readiness, and connections to future opportunities.</w:t>
      </w:r>
    </w:p>
    <w:p w:rsidR="00000000" w:rsidDel="00000000" w:rsidP="00000000" w:rsidRDefault="00000000" w:rsidRPr="00000000" w14:paraId="0000002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Justice for children should mean support, opportunity, and rehabilitation. Evidence-based interventions—including restorative conferencing, family therapy, and mentorship programs—reduce recidivism and improve outcomes. In Alameda County, California, youth in restorative conferencing programs were 19.6 percent less likely to be adjudicated delinquent within 18 months—a </w:t>
      </w:r>
      <w:hyperlink r:id="rId68">
        <w:r w:rsidDel="00000000" w:rsidR="00000000" w:rsidRPr="00000000">
          <w:rPr>
            <w:rFonts w:ascii="Times New Roman" w:cs="Times New Roman" w:eastAsia="Times New Roman" w:hAnsi="Times New Roman"/>
            <w:color w:val="1155cc"/>
            <w:sz w:val="28"/>
            <w:szCs w:val="28"/>
            <w:u w:val="single"/>
            <w:rtl w:val="0"/>
          </w:rPr>
          <w:t xml:space="preserve">47 percent</w:t>
        </w:r>
      </w:hyperlink>
      <w:hyperlink r:id="rId69">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relative reduction. Oakland, California, schools using restorative practices saw African American suspensions drop approximately </w:t>
      </w:r>
      <w:hyperlink r:id="rId70">
        <w:r w:rsidDel="00000000" w:rsidR="00000000" w:rsidRPr="00000000">
          <w:rPr>
            <w:rFonts w:ascii="Times New Roman" w:cs="Times New Roman" w:eastAsia="Times New Roman" w:hAnsi="Times New Roman"/>
            <w:color w:val="1155cc"/>
            <w:sz w:val="28"/>
            <w:szCs w:val="28"/>
            <w:u w:val="single"/>
            <w:rtl w:val="0"/>
          </w:rPr>
          <w:t xml:space="preserve">40 percent</w:t>
        </w:r>
      </w:hyperlink>
      <w:r w:rsidDel="00000000" w:rsidR="00000000" w:rsidRPr="00000000">
        <w:rPr>
          <w:rFonts w:ascii="Times New Roman" w:cs="Times New Roman" w:eastAsia="Times New Roman" w:hAnsi="Times New Roman"/>
          <w:sz w:val="28"/>
          <w:szCs w:val="28"/>
          <w:rtl w:val="0"/>
        </w:rPr>
        <w:t xml:space="preserve">, while New York City schools reported a </w:t>
      </w:r>
      <w:hyperlink r:id="rId71">
        <w:r w:rsidDel="00000000" w:rsidR="00000000" w:rsidRPr="00000000">
          <w:rPr>
            <w:rFonts w:ascii="Times New Roman" w:cs="Times New Roman" w:eastAsia="Times New Roman" w:hAnsi="Times New Roman"/>
            <w:color w:val="1155cc"/>
            <w:sz w:val="28"/>
            <w:szCs w:val="28"/>
            <w:u w:val="single"/>
            <w:rtl w:val="0"/>
          </w:rPr>
          <w:t xml:space="preserve">43 percent</w:t>
        </w:r>
      </w:hyperlink>
      <w:hyperlink r:id="rId72">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decline in suspensions alongside stronger student-staff relationships.</w:t>
      </w:r>
    </w:p>
    <w:p w:rsidR="00000000" w:rsidDel="00000000" w:rsidP="00000000" w:rsidRDefault="00000000" w:rsidRPr="00000000" w14:paraId="0000002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Community-based foster care programs, mentorship, and structured work opportunities provide continuity, guidance, and stability. Civic structures like local commissions can monitor policies, advocate, and provide systemic oversight, reinforcing protections and reducing systemic neglect. International lessons show that early, coordinated intervention, paired with social support, nurtures children rather than punishing them.</w:t>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c6ad91jjnhvn" w:id="4"/>
      <w:bookmarkEnd w:id="4"/>
      <w:r w:rsidDel="00000000" w:rsidR="00000000" w:rsidRPr="00000000">
        <w:rPr>
          <w:rFonts w:ascii="Times New Roman" w:cs="Times New Roman" w:eastAsia="Times New Roman" w:hAnsi="Times New Roman"/>
          <w:b w:val="1"/>
          <w:bCs w:val="1"/>
          <w:sz w:val="28"/>
          <w:szCs w:val="28"/>
          <w:rtl w:val="0"/>
        </w:rPr>
        <w:t xml:space="preserve">A Moral Test for Every Community</w:t>
      </w:r>
    </w:p>
    <w:p w:rsidR="00000000" w:rsidDel="00000000" w:rsidP="00000000" w:rsidRDefault="00000000" w:rsidRPr="00000000" w14:paraId="0000002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question “Does your community care about children?” is neither rhetorical nor abstract. Across the United States, children face overlapping crises: they are criminalized at alarmingly young ages, exploited through labor, left vulnerable in foster care, and exposed to trauma in immigration enforcement. Poverty, systemic neglect, and under-resourced institutions create these outcomes, but communities are not powerless.</w:t>
      </w:r>
    </w:p>
    <w:p w:rsidR="00000000" w:rsidDel="00000000" w:rsidP="00000000" w:rsidRDefault="00000000" w:rsidRPr="00000000" w14:paraId="0000002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Active engagement—through mentorship, safe employment, trauma-informed services, and civic oversight—signals that children are valued, protected, and supported. Programs that pair youth with mentors, offer structured work, and implement restorative practices in schools show that guidance and support can replace punishment and neglect. Communities that invest in these strategies help prevent cycles of trauma and build pathways to education, employment, and civic participation.</w:t>
      </w:r>
    </w:p>
    <w:p w:rsidR="00000000" w:rsidDel="00000000" w:rsidP="00000000" w:rsidRDefault="00000000" w:rsidRPr="00000000" w14:paraId="0000002F">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Caring communities take responsibility not only for immediate safety but also for the long-term well-being of children. By acting collectively through volunteer initiatives, policy advocacy, and inclusive oversight, communities can ensure that every child has a chance to thrive. The question of whether children matter is a moral test for every neighborhood, city, and state; the answer lies in whether communities are willing to act, to protect, and to nurture their young and to protect them.</w:t>
      </w:r>
      <w:r w:rsidDel="00000000" w:rsidR="00000000" w:rsidRPr="00000000">
        <w:rPr>
          <w:rtl w:val="0"/>
        </w:rPr>
      </w:r>
    </w:p>
    <w:p w:rsidR="00000000" w:rsidDel="00000000" w:rsidP="00000000" w:rsidRDefault="00000000" w:rsidRPr="00000000" w14:paraId="00000030">
      <w:pPr>
        <w:spacing w:after="200" w:lineRule="auto"/>
        <w:rPr>
          <w:rFonts w:ascii="Times New Roman" w:cs="Times New Roman" w:eastAsia="Times New Roman" w:hAnsi="Times New Roman"/>
          <w:sz w:val="28"/>
          <w:szCs w:val="28"/>
        </w:rPr>
      </w:pPr>
      <w:r w:rsidDel="00000000" w:rsidR="00000000" w:rsidRPr="00000000">
        <w:rPr>
          <w:rtl w:val="0"/>
        </w:rPr>
      </w:r>
    </w:p>
    <w:sectPr>
      <w:headerReference r:id="rId73" w:type="default"/>
      <w:headerReference r:id="rId74" w:type="first"/>
      <w:footerReference r:id="rId7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hs.dc.gov/page/pass-functional-family-therapy-fft-program" TargetMode="External"/><Relationship Id="rId42" Type="http://schemas.openxmlformats.org/officeDocument/2006/relationships/hyperlink" Target="https://nationalmentoringresourcecenter.org/resource/credible-messenger-and-lived-experience-mentoring-programs/?utm_source=chatgpt.com" TargetMode="External"/><Relationship Id="rId41" Type="http://schemas.openxmlformats.org/officeDocument/2006/relationships/hyperlink" Target="https://nationalmentoringresourcecenter.org/resource/credible-messenger-and-lived-experience-mentoring-programs/" TargetMode="External"/><Relationship Id="rId44" Type="http://schemas.openxmlformats.org/officeDocument/2006/relationships/hyperlink" Target="https://www.ojp.gov/library/publications/effectiveness-restorative-justice-principles-juvenile-justice-meta-analysis?utm_source=chatgpt.com" TargetMode="External"/><Relationship Id="rId43" Type="http://schemas.openxmlformats.org/officeDocument/2006/relationships/hyperlink" Target="https://www.ojp.gov/library/publications/effectiveness-restorative-justice-principles-juvenile-justice-meta-analysis" TargetMode="External"/><Relationship Id="rId46" Type="http://schemas.openxmlformats.org/officeDocument/2006/relationships/hyperlink" Target="https://www.ojp.gov/library/publications/model-programs-guide-literature-review-wraparound-process" TargetMode="External"/><Relationship Id="rId45" Type="http://schemas.openxmlformats.org/officeDocument/2006/relationships/hyperlink" Target="https://www.wonderseedfoundation.org/program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 TargetMode="External"/><Relationship Id="rId48" Type="http://schemas.openxmlformats.org/officeDocument/2006/relationships/hyperlink" Target="https://www.dol.gov/sites/dolgov/files/WHD/child-labor/child-labor-report-congress_2023-2024.pdf" TargetMode="External"/><Relationship Id="rId47" Type="http://schemas.openxmlformats.org/officeDocument/2006/relationships/hyperlink" Target="https://www.dol.gov/agencies/whd/data/charts/child-labor" TargetMode="External"/><Relationship Id="rId49" Type="http://schemas.openxmlformats.org/officeDocument/2006/relationships/hyperlink" Target="https://files.eric.ed.gov/fulltext/ED595857.pdf" TargetMode="External"/><Relationship Id="rId5" Type="http://schemas.openxmlformats.org/officeDocument/2006/relationships/styles" Target="styles.xml"/><Relationship Id="rId6" Type="http://schemas.openxmlformats.org/officeDocument/2006/relationships/hyperlink" Target="https://www.harpercollins.com/products/a-call-to-character-colin-greer" TargetMode="External"/><Relationship Id="rId7" Type="http://schemas.openxmlformats.org/officeDocument/2006/relationships/hyperlink" Target="https://eric.ed.gov/?id=ED276777" TargetMode="External"/><Relationship Id="rId8" Type="http://schemas.openxmlformats.org/officeDocument/2006/relationships/hyperlink" Target="https://www.booksamillion.com/p/Religious-Differences-Between-Artichokes/Colin-Greer/9780983198475" TargetMode="External"/><Relationship Id="rId73" Type="http://schemas.openxmlformats.org/officeDocument/2006/relationships/header" Target="header1.xml"/><Relationship Id="rId72" Type="http://schemas.openxmlformats.org/officeDocument/2006/relationships/hyperlink" Target="https://www.morningsidecenter.org/restorative-practices-reduce-suspensions?utm_source=chatgpt.com" TargetMode="External"/><Relationship Id="rId31" Type="http://schemas.openxmlformats.org/officeDocument/2006/relationships/hyperlink" Target="https://www.prisonpolicy.org/reports/youth2025.html" TargetMode="External"/><Relationship Id="rId75" Type="http://schemas.openxmlformats.org/officeDocument/2006/relationships/footer" Target="footer1.xml"/><Relationship Id="rId30" Type="http://schemas.openxmlformats.org/officeDocument/2006/relationships/hyperlink" Target="https://www.prisonpolicy.org/blog/2025/08/19/youth-victimization/?utm_source=chatgpt.com" TargetMode="External"/><Relationship Id="rId74" Type="http://schemas.openxmlformats.org/officeDocument/2006/relationships/header" Target="header2.xml"/><Relationship Id="rId33" Type="http://schemas.openxmlformats.org/officeDocument/2006/relationships/hyperlink" Target="https://www.prisonpolicy.org/reports/youth2025.html" TargetMode="External"/><Relationship Id="rId32" Type="http://schemas.openxmlformats.org/officeDocument/2006/relationships/hyperlink" Target="https://www.prisonpolicy.org/reports/youth2025.html" TargetMode="External"/><Relationship Id="rId35" Type="http://schemas.openxmlformats.org/officeDocument/2006/relationships/hyperlink" Target="https://youth.gov/youth-topics/juvenile-justice/youth-involved-juvenile-justice-system" TargetMode="External"/><Relationship Id="rId34" Type="http://schemas.openxmlformats.org/officeDocument/2006/relationships/hyperlink" Target="https://www.prisonpolicy.org/reports/youth2025.html?utm_source=chatgpt.com" TargetMode="External"/><Relationship Id="rId71" Type="http://schemas.openxmlformats.org/officeDocument/2006/relationships/hyperlink" Target="https://www.morningsidecenter.org/restorative-practices-reduce-suspensions" TargetMode="External"/><Relationship Id="rId70" Type="http://schemas.openxmlformats.org/officeDocument/2006/relationships/hyperlink" Target="https://www.datainaction.org/uploads/2/7/8/2/27825255/ousd-rj_report_revised_dec414.pdf" TargetMode="External"/><Relationship Id="rId37" Type="http://schemas.openxmlformats.org/officeDocument/2006/relationships/hyperlink" Target="https://crimesolutions.ojp.gov/ratedprograms/multisystemic-therapy-mst" TargetMode="External"/><Relationship Id="rId36" Type="http://schemas.openxmlformats.org/officeDocument/2006/relationships/hyperlink" Target="https://pds.wv.gov/attorney-and-staff-resources/research-center/legal-resources/Documents/The-Harms-of-Juvenile-Detention.pdf" TargetMode="External"/><Relationship Id="rId39" Type="http://schemas.openxmlformats.org/officeDocument/2006/relationships/hyperlink" Target="https://dhs.dc.gov/page/pass-functional-family-therapy-fft-program" TargetMode="External"/><Relationship Id="rId38" Type="http://schemas.openxmlformats.org/officeDocument/2006/relationships/hyperlink" Target="https://crimesolutions.ojp.gov/ratedprograms/multisystemic-therapy-mst" TargetMode="External"/><Relationship Id="rId62" Type="http://schemas.openxmlformats.org/officeDocument/2006/relationships/hyperlink" Target="https://www.sciencedirect.com/science/article/pii/S0190740924002627" TargetMode="External"/><Relationship Id="rId61" Type="http://schemas.openxmlformats.org/officeDocument/2006/relationships/hyperlink" Target="https://www.diva-portal.org/smash/get/diva2%3A1988596/FULLTEXT01.pdf?utm_source=chatgpt.com" TargetMode="External"/><Relationship Id="rId20" Type="http://schemas.openxmlformats.org/officeDocument/2006/relationships/hyperlink" Target="https://www.pbs.org/newshour/show/tennessee-judge-jailed-minors-on-bogus-charges-following-playground-fights-cursing" TargetMode="External"/><Relationship Id="rId64" Type="http://schemas.openxmlformats.org/officeDocument/2006/relationships/hyperlink" Target="https://www.ojp.gov/library/publications/credible-messenger-and-lived-experience-mentoring-programs-evidence-review" TargetMode="External"/><Relationship Id="rId63" Type="http://schemas.openxmlformats.org/officeDocument/2006/relationships/hyperlink" Target="https://www.sciencedirect.com/science/article/pii/S0190740924002627?utm_source=chatgpt.com" TargetMode="External"/><Relationship Id="rId22" Type="http://schemas.openxmlformats.org/officeDocument/2006/relationships/hyperlink" Target="https://www.gao.gov/products/gao-24-106294?utm_source=chatgpt.com" TargetMode="External"/><Relationship Id="rId66" Type="http://schemas.openxmlformats.org/officeDocument/2006/relationships/hyperlink" Target="https://www.governor.ny.gov/news/governor-hochul-announces-more-47-million-provide-summer-jobs-disadvantaged-youth" TargetMode="External"/><Relationship Id="rId21" Type="http://schemas.openxmlformats.org/officeDocument/2006/relationships/hyperlink" Target="https://www.gao.gov/products/gao-24-106294" TargetMode="External"/><Relationship Id="rId65" Type="http://schemas.openxmlformats.org/officeDocument/2006/relationships/hyperlink" Target="https://www.wonderseedfoundation.org/" TargetMode="External"/><Relationship Id="rId24" Type="http://schemas.openxmlformats.org/officeDocument/2006/relationships/hyperlink" Target="https://www.ojp.gov/files/archives/pressreleases/2022/youth-arrests-violent-crime-2020-drop-new-low?utm_source=chatgpt.com" TargetMode="External"/><Relationship Id="rId68" Type="http://schemas.openxmlformats.org/officeDocument/2006/relationships/hyperlink" Target="https://clrc.ca.gov/CRPC/Pub/Memos/CRPC20-04s1x.pdf" TargetMode="External"/><Relationship Id="rId23" Type="http://schemas.openxmlformats.org/officeDocument/2006/relationships/hyperlink" Target="https://www.ojp.gov/files/archives/pressreleases/2022/youth-arrests-violent-crime-2020-drop-new-low" TargetMode="External"/><Relationship Id="rId67" Type="http://schemas.openxmlformats.org/officeDocument/2006/relationships/hyperlink" Target="https://www.governor.ny.gov/news/governor-hochul-announces-more-47-million-provide-summer-jobs-disadvantaged-youth?utm_source=chatgpt.com" TargetMode="External"/><Relationship Id="rId60" Type="http://schemas.openxmlformats.org/officeDocument/2006/relationships/hyperlink" Target="https://www.diva-portal.org/smash/get/diva2%3A1988596/FULLTEXT01.pdf" TargetMode="External"/><Relationship Id="rId26" Type="http://schemas.openxmlformats.org/officeDocument/2006/relationships/hyperlink" Target="https://aimymh.org/mental-health-in-the-juvenile-justice-system-a-comprehensive-review/" TargetMode="External"/><Relationship Id="rId25" Type="http://schemas.openxmlformats.org/officeDocument/2006/relationships/hyperlink" Target="https://e-justice.europa.eu/topics/your-rights/rights-minors-court-proceedings/fi_en" TargetMode="External"/><Relationship Id="rId69" Type="http://schemas.openxmlformats.org/officeDocument/2006/relationships/hyperlink" Target="https://clrc.ca.gov/CRPC/Pub/Memos/CRPC20-04s1x.pdf?utm_source=chatgpt.com" TargetMode="External"/><Relationship Id="rId28" Type="http://schemas.openxmlformats.org/officeDocument/2006/relationships/hyperlink" Target="https://www.aclu.org/documents/what-school-prison-pipeline?utm_source=chatgpt.com" TargetMode="External"/><Relationship Id="rId27" Type="http://schemas.openxmlformats.org/officeDocument/2006/relationships/hyperlink" Target="https://www.aclu.org/documents/what-school-prison-pipeline" TargetMode="External"/><Relationship Id="rId29" Type="http://schemas.openxmlformats.org/officeDocument/2006/relationships/hyperlink" Target="https://www.prisonpolicy.org/blog/2025/08/19/youth-victimization/" TargetMode="External"/><Relationship Id="rId51" Type="http://schemas.openxmlformats.org/officeDocument/2006/relationships/hyperlink" Target="https://www.lawcode.eu/en/blog/child-labor/?utm_source=chatgpt.com" TargetMode="External"/><Relationship Id="rId50" Type="http://schemas.openxmlformats.org/officeDocument/2006/relationships/hyperlink" Target="https://www.lawcode.eu/en/blog/child-labor/" TargetMode="External"/><Relationship Id="rId53" Type="http://schemas.openxmlformats.org/officeDocument/2006/relationships/hyperlink" Target="https://holdcbpaccountable.org/wp-content/uploads/2019/03/2018-05-aclu-uchicago-ihrc-report.pdf" TargetMode="External"/><Relationship Id="rId52" Type="http://schemas.openxmlformats.org/officeDocument/2006/relationships/hyperlink" Target="https://business.gov.nl/regulations/employment-young-people/" TargetMode="External"/><Relationship Id="rId11" Type="http://schemas.openxmlformats.org/officeDocument/2006/relationships/hyperlink" Target="https://independentmediainstitute.org/" TargetMode="External"/><Relationship Id="rId55" Type="http://schemas.openxmlformats.org/officeDocument/2006/relationships/hyperlink" Target="https://www.immigration.govt.nz/about-us/our-strategies-and-programmes/supporting-refugees-and-asylum-seekers/?utm_source=chatgpt.com" TargetMode="External"/><Relationship Id="rId10" Type="http://schemas.openxmlformats.org/officeDocument/2006/relationships/hyperlink" Target="https://independentmediainstitute.org/earth-food-life/" TargetMode="External"/><Relationship Id="rId54" Type="http://schemas.openxmlformats.org/officeDocument/2006/relationships/hyperlink" Target="https://www.immigration.govt.nz/about-us/our-strategies-and-programmes/supporting-refugees-and-asylum-seekers/" TargetMode="External"/><Relationship Id="rId13" Type="http://schemas.openxmlformats.org/officeDocument/2006/relationships/hyperlink" Target="https://observatory.wiki/" TargetMode="External"/><Relationship Id="rId57" Type="http://schemas.openxmlformats.org/officeDocument/2006/relationships/hyperlink" Target="https://ccrweb.ca/en/family-reunification-options-refugees?utm_source=chatgpt.com" TargetMode="External"/><Relationship Id="rId12" Type="http://schemas.openxmlformats.org/officeDocument/2006/relationships/hyperlink" Target="https://observatory.wiki/Guide_to_Caring_for_Vulnerable_Youth" TargetMode="External"/><Relationship Id="rId56" Type="http://schemas.openxmlformats.org/officeDocument/2006/relationships/hyperlink" Target="https://ccrweb.ca/en/family-reunification-options-refugees" TargetMode="External"/><Relationship Id="rId15" Type="http://schemas.openxmlformats.org/officeDocument/2006/relationships/hyperlink" Target="https://observatory.wiki/The_Hidden_Crisis:_How_America_Fails_to_Protect_Its_Children" TargetMode="External"/><Relationship Id="rId59" Type="http://schemas.openxmlformats.org/officeDocument/2006/relationships/hyperlink" Target="https://acf.gov/opre/report/survey-youth-currently-and-formerly-foster-care-risk-human-trafficking-final-report" TargetMode="External"/><Relationship Id="rId14" Type="http://schemas.openxmlformats.org/officeDocument/2006/relationships/hyperlink" Target="https://creativecommons.org/licenses/by-nc-sa/4.0/deed.en" TargetMode="External"/><Relationship Id="rId58" Type="http://schemas.openxmlformats.org/officeDocument/2006/relationships/hyperlink" Target="https://www.ojp.gov/library/publications/trauma-informed-approaches-improve-school-safety" TargetMode="External"/><Relationship Id="rId17" Type="http://schemas.openxmlformats.org/officeDocument/2006/relationships/hyperlink" Target="https://www.sentencingproject.org/policy-brief/youth-justice-by-the-numbers/" TargetMode="External"/><Relationship Id="rId16" Type="http://schemas.openxmlformats.org/officeDocument/2006/relationships/hyperlink" Target="https://observatory.wiki/Illegitimate_Power,_Illegitimate_Violence:_How_Nations_Are_Built_on_the_Backs_of_Disenfranchised_Children" TargetMode="External"/><Relationship Id="rId19" Type="http://schemas.openxmlformats.org/officeDocument/2006/relationships/hyperlink" Target="https://www.nccourts.gov/help-topics/family-and-children/juvenile-delinquency?utm_source=chatgpt.com" TargetMode="External"/><Relationship Id="rId18" Type="http://schemas.openxmlformats.org/officeDocument/2006/relationships/hyperlink" Target="https://www.nccourts.gov/help-topics/family-and-children/juvenile-delinqu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