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When Poverty Makes You Sick: The Hidden Cost of Neglecting Youth Health</w:t>
      </w:r>
    </w:p>
    <w:p w:rsidR="00000000" w:rsidDel="00000000" w:rsidP="00000000" w:rsidRDefault="00000000" w:rsidRPr="00000000" w14:paraId="0000000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Teaser:</w:t>
      </w:r>
      <w:r w:rsidDel="00000000" w:rsidR="00000000" w:rsidRPr="00000000">
        <w:rPr>
          <w:rFonts w:ascii="Times New Roman" w:cs="Times New Roman" w:eastAsia="Times New Roman" w:hAnsi="Times New Roman"/>
          <w:sz w:val="28"/>
          <w:szCs w:val="28"/>
          <w:rtl w:val="0"/>
        </w:rPr>
        <w:t xml:space="preserve"> Poor health, hunger, and malnutrition are not just symptoms of poverty—they are barriers to education, socialization, and hope.</w:t>
      </w:r>
    </w:p>
    <w:p w:rsidR="00000000" w:rsidDel="00000000" w:rsidP="00000000" w:rsidRDefault="00000000" w:rsidRPr="00000000" w14:paraId="00000003">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Colin Greer and Reynard Loki</w:t>
      </w:r>
    </w:p>
    <w:p w:rsidR="00000000" w:rsidDel="00000000" w:rsidP="00000000" w:rsidRDefault="00000000" w:rsidRPr="00000000" w14:paraId="00000004">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Bios:</w:t>
      </w:r>
      <w:r w:rsidDel="00000000" w:rsidR="00000000" w:rsidRPr="00000000">
        <w:rPr>
          <w:rtl w:val="0"/>
        </w:rPr>
      </w:r>
    </w:p>
    <w:p w:rsidR="00000000" w:rsidDel="00000000" w:rsidP="00000000" w:rsidRDefault="00000000" w:rsidRPr="00000000" w14:paraId="00000005">
      <w:pPr>
        <w:spacing w:after="20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Dr. Colin Greer</w:t>
      </w:r>
      <w:r w:rsidDel="00000000" w:rsidR="00000000" w:rsidRPr="00000000">
        <w:rPr>
          <w:rFonts w:ascii="Times New Roman" w:cs="Times New Roman" w:eastAsia="Times New Roman" w:hAnsi="Times New Roman"/>
          <w:sz w:val="28"/>
          <w:szCs w:val="28"/>
          <w:rtl w:val="0"/>
        </w:rPr>
        <w:t xml:space="preserve"> has served as president of the New World Foundation since 1985. A former Brooklyn College professor, he directed studies on U.S. immigration and urban schooling at Columbia University and CUNY. He has advised national leaders, including First Lady Hillary Clinton and Senator Paul Wellstone. His books include </w:t>
      </w:r>
      <w:hyperlink r:id="rId6">
        <w:r w:rsidDel="00000000" w:rsidR="00000000" w:rsidRPr="00000000">
          <w:rPr>
            <w:rFonts w:ascii="Times New Roman" w:cs="Times New Roman" w:eastAsia="Times New Roman" w:hAnsi="Times New Roman"/>
            <w:i w:val="1"/>
            <w:iCs w:val="1"/>
            <w:color w:val="1155cc"/>
            <w:sz w:val="28"/>
            <w:szCs w:val="28"/>
            <w:u w:val="single"/>
            <w:rtl w:val="0"/>
          </w:rPr>
          <w:t xml:space="preserve">A Call to Character</w:t>
        </w:r>
      </w:hyperlink>
      <w:r w:rsidDel="00000000" w:rsidR="00000000" w:rsidRPr="00000000">
        <w:rPr>
          <w:rFonts w:ascii="Times New Roman" w:cs="Times New Roman" w:eastAsia="Times New Roman" w:hAnsi="Times New Roman"/>
          <w:sz w:val="28"/>
          <w:szCs w:val="28"/>
          <w:rtl w:val="0"/>
        </w:rPr>
        <w:t xml:space="preserve"> and </w:t>
      </w:r>
      <w:hyperlink r:id="rId7">
        <w:r w:rsidDel="00000000" w:rsidR="00000000" w:rsidRPr="00000000">
          <w:rPr>
            <w:rFonts w:ascii="Times New Roman" w:cs="Times New Roman" w:eastAsia="Times New Roman" w:hAnsi="Times New Roman"/>
            <w:i w:val="1"/>
            <w:iCs w:val="1"/>
            <w:color w:val="1155cc"/>
            <w:sz w:val="28"/>
            <w:szCs w:val="28"/>
            <w:u w:val="single"/>
            <w:rtl w:val="0"/>
          </w:rPr>
          <w:t xml:space="preserve">Choosing Equality</w:t>
        </w:r>
      </w:hyperlink>
      <w:r w:rsidDel="00000000" w:rsidR="00000000" w:rsidRPr="00000000">
        <w:rPr>
          <w:rFonts w:ascii="Times New Roman" w:cs="Times New Roman" w:eastAsia="Times New Roman" w:hAnsi="Times New Roman"/>
          <w:sz w:val="28"/>
          <w:szCs w:val="28"/>
          <w:rtl w:val="0"/>
        </w:rPr>
        <w:t xml:space="preserve">, winner of the ALA’s Eli M. Oboler Award. A poet and playwright, his work has appeared in Transfer, Hanging Loose, Tikkun, and Kosmos. His plays, including </w:t>
      </w:r>
      <w:r w:rsidDel="00000000" w:rsidR="00000000" w:rsidRPr="00000000">
        <w:rPr>
          <w:rFonts w:ascii="Times New Roman" w:cs="Times New Roman" w:eastAsia="Times New Roman" w:hAnsi="Times New Roman"/>
          <w:i w:val="1"/>
          <w:iCs w:val="1"/>
          <w:sz w:val="28"/>
          <w:szCs w:val="28"/>
          <w:rtl w:val="0"/>
        </w:rPr>
        <w:t xml:space="preserve">Imagining Heschel</w:t>
      </w:r>
      <w:r w:rsidDel="00000000" w:rsidR="00000000" w:rsidRPr="00000000">
        <w:rPr>
          <w:rFonts w:ascii="Times New Roman" w:cs="Times New Roman" w:eastAsia="Times New Roman" w:hAnsi="Times New Roman"/>
          <w:sz w:val="28"/>
          <w:szCs w:val="28"/>
          <w:rtl w:val="0"/>
        </w:rPr>
        <w:t xml:space="preserve"> and </w:t>
      </w:r>
      <w:r w:rsidDel="00000000" w:rsidR="00000000" w:rsidRPr="00000000">
        <w:rPr>
          <w:rFonts w:ascii="Times New Roman" w:cs="Times New Roman" w:eastAsia="Times New Roman" w:hAnsi="Times New Roman"/>
          <w:i w:val="1"/>
          <w:iCs w:val="1"/>
          <w:sz w:val="28"/>
          <w:szCs w:val="28"/>
          <w:rtl w:val="0"/>
        </w:rPr>
        <w:t xml:space="preserve">Spinoza’s Solitude</w:t>
      </w:r>
      <w:r w:rsidDel="00000000" w:rsidR="00000000" w:rsidRPr="00000000">
        <w:rPr>
          <w:rFonts w:ascii="Times New Roman" w:cs="Times New Roman" w:eastAsia="Times New Roman" w:hAnsi="Times New Roman"/>
          <w:sz w:val="28"/>
          <w:szCs w:val="28"/>
          <w:rtl w:val="0"/>
        </w:rPr>
        <w:t xml:space="preserve">, are collected in </w:t>
      </w:r>
      <w:hyperlink r:id="rId8">
        <w:r w:rsidDel="00000000" w:rsidR="00000000" w:rsidRPr="00000000">
          <w:rPr>
            <w:rFonts w:ascii="Times New Roman" w:cs="Times New Roman" w:eastAsia="Times New Roman" w:hAnsi="Times New Roman"/>
            <w:i w:val="1"/>
            <w:iCs w:val="1"/>
            <w:color w:val="1155cc"/>
            <w:sz w:val="28"/>
            <w:szCs w:val="28"/>
            <w:u w:val="single"/>
            <w:rtl w:val="0"/>
          </w:rPr>
          <w:t xml:space="preserve">Religious Differences Between Artichokes</w:t>
        </w:r>
      </w:hyperlink>
      <w:r w:rsidDel="00000000" w:rsidR="00000000" w:rsidRPr="00000000">
        <w:rPr>
          <w:rFonts w:ascii="Times New Roman" w:cs="Times New Roman" w:eastAsia="Times New Roman" w:hAnsi="Times New Roman"/>
          <w:sz w:val="28"/>
          <w:szCs w:val="28"/>
          <w:rtl w:val="0"/>
        </w:rPr>
        <w:t xml:space="preserve">, with a preface by Cornel West. His long poem, “Treaty Between Self and Earth,” was performed at Rattlestick Theatre in 2022. He is a contributor to the </w:t>
      </w:r>
      <w:hyperlink r:id="rId9">
        <w:r w:rsidDel="00000000" w:rsidR="00000000" w:rsidRPr="00000000">
          <w:rPr>
            <w:rFonts w:ascii="Times New Roman" w:cs="Times New Roman" w:eastAsia="Times New Roman" w:hAnsi="Times New Roman"/>
            <w:color w:val="1155cc"/>
            <w:sz w:val="28"/>
            <w:szCs w:val="28"/>
            <w:u w:val="single"/>
            <w:rtl w:val="0"/>
          </w:rPr>
          <w:t xml:space="preserve">Observatory</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06">
      <w:pPr>
        <w:spacing w:after="200" w:lineRule="auto"/>
        <w:ind w:lef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Reynard Loki</w:t>
      </w:r>
      <w:r w:rsidDel="00000000" w:rsidR="00000000" w:rsidRPr="00000000">
        <w:rPr>
          <w:rFonts w:ascii="Times New Roman" w:cs="Times New Roman" w:eastAsia="Times New Roman" w:hAnsi="Times New Roman"/>
          <w:sz w:val="28"/>
          <w:szCs w:val="28"/>
          <w:rtl w:val="0"/>
        </w:rPr>
        <w:t xml:space="preserve"> is a co-founder of the </w:t>
      </w:r>
      <w:hyperlink r:id="rId10">
        <w:r w:rsidDel="00000000" w:rsidR="00000000" w:rsidRPr="00000000">
          <w:rPr>
            <w:rFonts w:ascii="Times New Roman" w:cs="Times New Roman" w:eastAsia="Times New Roman" w:hAnsi="Times New Roman"/>
            <w:color w:val="1155cc"/>
            <w:sz w:val="28"/>
            <w:szCs w:val="28"/>
            <w:u w:val="single"/>
            <w:rtl w:val="0"/>
          </w:rPr>
          <w:t xml:space="preserve">Observatory</w:t>
        </w:r>
      </w:hyperlink>
      <w:r w:rsidDel="00000000" w:rsidR="00000000" w:rsidRPr="00000000">
        <w:rPr>
          <w:rFonts w:ascii="Times New Roman" w:cs="Times New Roman" w:eastAsia="Times New Roman" w:hAnsi="Times New Roman"/>
          <w:sz w:val="28"/>
          <w:szCs w:val="28"/>
          <w:rtl w:val="0"/>
        </w:rPr>
        <w:t xml:space="preserve">. He is a writing fellow and the editor and chief correspondent for </w:t>
      </w:r>
      <w:hyperlink r:id="rId11">
        <w:r w:rsidDel="00000000" w:rsidR="00000000" w:rsidRPr="00000000">
          <w:rPr>
            <w:rFonts w:ascii="Times New Roman" w:cs="Times New Roman" w:eastAsia="Times New Roman" w:hAnsi="Times New Roman"/>
            <w:color w:val="1155cc"/>
            <w:sz w:val="28"/>
            <w:szCs w:val="28"/>
            <w:u w:val="single"/>
            <w:rtl w:val="0"/>
          </w:rPr>
          <w:t xml:space="preserve">Earth | Food | Life</w:t>
        </w:r>
      </w:hyperlink>
      <w:r w:rsidDel="00000000" w:rsidR="00000000" w:rsidRPr="00000000">
        <w:rPr>
          <w:rFonts w:ascii="Times New Roman" w:cs="Times New Roman" w:eastAsia="Times New Roman" w:hAnsi="Times New Roman"/>
          <w:sz w:val="28"/>
          <w:szCs w:val="28"/>
          <w:rtl w:val="0"/>
        </w:rPr>
        <w:t xml:space="preserve"> at the </w:t>
      </w:r>
      <w:hyperlink r:id="rId12">
        <w:r w:rsidDel="00000000" w:rsidR="00000000" w:rsidRPr="00000000">
          <w:rPr>
            <w:rFonts w:ascii="Times New Roman" w:cs="Times New Roman" w:eastAsia="Times New Roman" w:hAnsi="Times New Roman"/>
            <w:color w:val="1155cc"/>
            <w:sz w:val="28"/>
            <w:szCs w:val="28"/>
            <w:u w:val="single"/>
            <w:rtl w:val="0"/>
          </w:rPr>
          <w:t xml:space="preserve">Independent Media Institute</w:t>
        </w:r>
      </w:hyperlink>
      <w:r w:rsidDel="00000000" w:rsidR="00000000" w:rsidRPr="00000000">
        <w:rPr>
          <w:rFonts w:ascii="Times New Roman" w:cs="Times New Roman" w:eastAsia="Times New Roman" w:hAnsi="Times New Roman"/>
          <w:sz w:val="28"/>
          <w:szCs w:val="28"/>
          <w:rtl w:val="0"/>
        </w:rPr>
        <w:t xml:space="preserve">. His work has appeared in Salon, Truthout, EcoWatch, BillMoyers.com, and Yes! Magazine. A former environmental editor at </w:t>
      </w:r>
      <w:r w:rsidDel="00000000" w:rsidR="00000000" w:rsidRPr="00000000">
        <w:rPr>
          <w:rFonts w:ascii="Times New Roman" w:cs="Times New Roman" w:eastAsia="Times New Roman" w:hAnsi="Times New Roman"/>
          <w:i w:val="1"/>
          <w:iCs w:val="1"/>
          <w:sz w:val="28"/>
          <w:szCs w:val="28"/>
          <w:rtl w:val="0"/>
        </w:rPr>
        <w:t xml:space="preserve">AlterNet</w:t>
      </w:r>
      <w:r w:rsidDel="00000000" w:rsidR="00000000" w:rsidRPr="00000000">
        <w:rPr>
          <w:rFonts w:ascii="Times New Roman" w:cs="Times New Roman" w:eastAsia="Times New Roman" w:hAnsi="Times New Roman"/>
          <w:sz w:val="28"/>
          <w:szCs w:val="28"/>
          <w:rtl w:val="0"/>
        </w:rPr>
        <w:t xml:space="preserve">, he writes on the intersections of justice, ecology, and human rights. He serves on the board of the Stuyvesant Park Neighborhood Association, where he supports education programming for local children and families. He regularly speaks with high school students about environmental awareness and community advocacy.</w:t>
      </w:r>
    </w:p>
    <w:p w:rsidR="00000000" w:rsidDel="00000000" w:rsidP="00000000" w:rsidRDefault="00000000" w:rsidRPr="00000000" w14:paraId="00000007">
      <w:pPr>
        <w:spacing w:after="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Credit Line: </w:t>
      </w:r>
      <w:r w:rsidDel="00000000" w:rsidR="00000000" w:rsidRPr="00000000">
        <w:rPr>
          <w:rFonts w:ascii="Times New Roman" w:cs="Times New Roman" w:eastAsia="Times New Roman" w:hAnsi="Times New Roman"/>
          <w:i w:val="1"/>
          <w:iCs w:val="1"/>
          <w:sz w:val="28"/>
          <w:szCs w:val="28"/>
          <w:rtl w:val="0"/>
        </w:rPr>
        <w:t xml:space="preserve">This is the third article in the four-part series “</w:t>
      </w:r>
      <w:hyperlink r:id="rId13">
        <w:r w:rsidDel="00000000" w:rsidR="00000000" w:rsidRPr="00000000">
          <w:rPr>
            <w:rFonts w:ascii="Times New Roman" w:cs="Times New Roman" w:eastAsia="Times New Roman" w:hAnsi="Times New Roman"/>
            <w:i w:val="1"/>
            <w:iCs w:val="1"/>
            <w:color w:val="1155cc"/>
            <w:sz w:val="28"/>
            <w:szCs w:val="28"/>
            <w:u w:val="single"/>
            <w:rtl w:val="0"/>
          </w:rPr>
          <w:t xml:space="preserve">Does Your Community Care About Children?</w:t>
        </w:r>
      </w:hyperlink>
      <w:r w:rsidDel="00000000" w:rsidR="00000000" w:rsidRPr="00000000">
        <w:rPr>
          <w:rFonts w:ascii="Times New Roman" w:cs="Times New Roman" w:eastAsia="Times New Roman" w:hAnsi="Times New Roman"/>
          <w:i w:val="1"/>
          <w:iCs w:val="1"/>
          <w:sz w:val="28"/>
          <w:szCs w:val="28"/>
          <w:rtl w:val="0"/>
        </w:rPr>
        <w:t xml:space="preserve">” It was produced by the Independent Media Institute for the </w:t>
      </w:r>
      <w:hyperlink r:id="rId14">
        <w:r w:rsidDel="00000000" w:rsidR="00000000" w:rsidRPr="00000000">
          <w:rPr>
            <w:rFonts w:ascii="Times New Roman" w:cs="Times New Roman" w:eastAsia="Times New Roman" w:hAnsi="Times New Roman"/>
            <w:i w:val="1"/>
            <w:iCs w:val="1"/>
            <w:color w:val="1155cc"/>
            <w:sz w:val="28"/>
            <w:szCs w:val="28"/>
            <w:u w:val="single"/>
            <w:rtl w:val="0"/>
          </w:rPr>
          <w:t xml:space="preserve">Observatory</w:t>
        </w:r>
      </w:hyperlink>
      <w:r w:rsidDel="00000000" w:rsidR="00000000" w:rsidRPr="00000000">
        <w:rPr>
          <w:rFonts w:ascii="Times New Roman" w:cs="Times New Roman" w:eastAsia="Times New Roman" w:hAnsi="Times New Roman"/>
          <w:i w:val="1"/>
          <w:iCs w:val="1"/>
          <w:sz w:val="28"/>
          <w:szCs w:val="28"/>
          <w:rtl w:val="0"/>
        </w:rPr>
        <w:t xml:space="preserve">. It is licensed under the Creative Commons Attribution-NonCommercial-ShareAlike 4.0 International License (</w:t>
      </w:r>
      <w:hyperlink r:id="rId15">
        <w:r w:rsidDel="00000000" w:rsidR="00000000" w:rsidRPr="00000000">
          <w:rPr>
            <w:rFonts w:ascii="Times New Roman" w:cs="Times New Roman" w:eastAsia="Times New Roman" w:hAnsi="Times New Roman"/>
            <w:i w:val="1"/>
            <w:iCs w:val="1"/>
            <w:color w:val="1155cc"/>
            <w:sz w:val="28"/>
            <w:szCs w:val="28"/>
            <w:u w:val="single"/>
            <w:rtl w:val="0"/>
          </w:rPr>
          <w:t xml:space="preserve">CC BY-NC-SA 4.0</w:t>
        </w:r>
      </w:hyperlink>
      <w:r w:rsidDel="00000000" w:rsidR="00000000" w:rsidRPr="00000000">
        <w:rPr>
          <w:rFonts w:ascii="Times New Roman" w:cs="Times New Roman" w:eastAsia="Times New Roman" w:hAnsi="Times New Roman"/>
          <w:i w:val="1"/>
          <w:iCs w:val="1"/>
          <w:sz w:val="28"/>
          <w:szCs w:val="28"/>
          <w:rtl w:val="0"/>
        </w:rPr>
        <w:t xml:space="preserve">)</w:t>
      </w:r>
      <w:r w:rsidDel="00000000" w:rsidR="00000000" w:rsidRPr="00000000">
        <w:rPr>
          <w:rtl w:val="0"/>
        </w:rPr>
      </w:r>
    </w:p>
    <w:p w:rsidR="00000000" w:rsidDel="00000000" w:rsidP="00000000" w:rsidRDefault="00000000" w:rsidRPr="00000000" w14:paraId="00000008">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Healthcare, Human Rights, Politics</w:t>
      </w:r>
    </w:p>
    <w:p w:rsidR="00000000" w:rsidDel="00000000" w:rsidP="00000000" w:rsidRDefault="00000000" w:rsidRPr="00000000" w14:paraId="00000009">
      <w:pPr>
        <w:spacing w:after="240" w:before="240" w:lineRule="auto"/>
        <w:rPr>
          <w:rFonts w:ascii="Times New Roman" w:cs="Times New Roman" w:eastAsia="Times New Roman" w:hAnsi="Times New Roman"/>
          <w:i w:val="1"/>
          <w:iCs w:val="1"/>
          <w:sz w:val="28"/>
          <w:szCs w:val="28"/>
        </w:rPr>
      </w:pPr>
      <w:r w:rsidDel="00000000" w:rsidR="00000000" w:rsidRPr="00000000">
        <w:rPr>
          <w:rtl w:val="0"/>
        </w:rPr>
      </w:r>
    </w:p>
    <w:p w:rsidR="00000000" w:rsidDel="00000000" w:rsidP="00000000" w:rsidRDefault="00000000" w:rsidRPr="00000000" w14:paraId="0000000A">
      <w:pP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p>
    <w:p w:rsidR="00000000" w:rsidDel="00000000" w:rsidP="00000000" w:rsidRDefault="00000000" w:rsidRPr="00000000" w14:paraId="0000000B">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Peoria, Illinois, children living in federally subsidized housing have been getting sick in the very places meant to shelter them. An </w:t>
      </w:r>
      <w:hyperlink r:id="rId16">
        <w:r w:rsidDel="00000000" w:rsidR="00000000" w:rsidRPr="00000000">
          <w:rPr>
            <w:rFonts w:ascii="Times New Roman" w:cs="Times New Roman" w:eastAsia="Times New Roman" w:hAnsi="Times New Roman"/>
            <w:color w:val="1155cc"/>
            <w:sz w:val="28"/>
            <w:szCs w:val="28"/>
            <w:u w:val="single"/>
            <w:rtl w:val="0"/>
          </w:rPr>
          <w:t xml:space="preserve">investigation by ProPublica</w:t>
        </w:r>
      </w:hyperlink>
      <w:r w:rsidDel="00000000" w:rsidR="00000000" w:rsidRPr="00000000">
        <w:rPr>
          <w:rFonts w:ascii="Times New Roman" w:cs="Times New Roman" w:eastAsia="Times New Roman" w:hAnsi="Times New Roman"/>
          <w:sz w:val="28"/>
          <w:szCs w:val="28"/>
          <w:rtl w:val="0"/>
        </w:rPr>
        <w:t xml:space="preserve"> documented that apartments at the city’s Taft Homes were plagued by mold, water damage, pest infestations, and peeling paint—conditions that local doctors and health inspectors linked to asthma flare‑ups and chronic respiratory problems in young residents. Parents described children coughing through the night, visiting emergency rooms repeatedly, and missing school because their homes were making them ill. These are not isolated incidents. They are symptoms of a deeper structural failure. Poverty does not merely deprive people of comfort or opportunity—it shapes the conditions of their health. It works through a set of interconnected pressures: hunger that disrupts concentration, chronic stress </w:t>
      </w:r>
      <w:hyperlink r:id="rId17">
        <w:r w:rsidDel="00000000" w:rsidR="00000000" w:rsidRPr="00000000">
          <w:rPr>
            <w:rFonts w:ascii="Times New Roman" w:cs="Times New Roman" w:eastAsia="Times New Roman" w:hAnsi="Times New Roman"/>
            <w:color w:val="1155cc"/>
            <w:sz w:val="28"/>
            <w:szCs w:val="28"/>
            <w:u w:val="single"/>
            <w:rtl w:val="0"/>
          </w:rPr>
          <w:t xml:space="preserve">that elevates cortisol</w:t>
        </w:r>
      </w:hyperlink>
      <w:r w:rsidDel="00000000" w:rsidR="00000000" w:rsidRPr="00000000">
        <w:rPr>
          <w:rFonts w:ascii="Times New Roman" w:cs="Times New Roman" w:eastAsia="Times New Roman" w:hAnsi="Times New Roman"/>
          <w:sz w:val="28"/>
          <w:szCs w:val="28"/>
          <w:rtl w:val="0"/>
        </w:rPr>
        <w:t xml:space="preserve"> and weakens immune function, and substandard housing that exposes residents to mold, lead, and other toxic substances. Insecurity—about rent, immigration status, or safety—is not just a psychological burden; it </w:t>
      </w:r>
      <w:hyperlink r:id="rId18">
        <w:r w:rsidDel="00000000" w:rsidR="00000000" w:rsidRPr="00000000">
          <w:rPr>
            <w:rFonts w:ascii="Times New Roman" w:cs="Times New Roman" w:eastAsia="Times New Roman" w:hAnsi="Times New Roman"/>
            <w:color w:val="1155cc"/>
            <w:sz w:val="28"/>
            <w:szCs w:val="28"/>
            <w:u w:val="single"/>
            <w:rtl w:val="0"/>
          </w:rPr>
          <w:t xml:space="preserve">becomes embodied</w:t>
        </w:r>
      </w:hyperlink>
      <w:r w:rsidDel="00000000" w:rsidR="00000000" w:rsidRPr="00000000">
        <w:rPr>
          <w:rFonts w:ascii="Times New Roman" w:cs="Times New Roman" w:eastAsia="Times New Roman" w:hAnsi="Times New Roman"/>
          <w:sz w:val="28"/>
          <w:szCs w:val="28"/>
          <w:rtl w:val="0"/>
        </w:rPr>
        <w:t xml:space="preserve">, affecting how people grow, think, and function. These are not isolated hardships but mechanisms through which poverty itself becomes a health condition.</w:t>
      </w:r>
    </w:p>
    <w:p w:rsidR="00000000" w:rsidDel="00000000" w:rsidP="00000000" w:rsidRDefault="00000000" w:rsidRPr="00000000" w14:paraId="0000000C">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children, these health inequities are not simply medical problems. They are barriers to education, social participation, and economic mobility. A child who cannot breathe easily cannot focus. A hungry child cannot learn. A child who is depressed or anxious cannot fully engage with peers or teachers. Ill health closes doors long before adulthood arrives.</w:t>
      </w:r>
    </w:p>
    <w:p w:rsidR="00000000" w:rsidDel="00000000" w:rsidP="00000000" w:rsidRDefault="00000000" w:rsidRPr="00000000" w14:paraId="0000000D">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this third article in our series “</w:t>
      </w:r>
      <w:hyperlink r:id="rId19">
        <w:r w:rsidDel="00000000" w:rsidR="00000000" w:rsidRPr="00000000">
          <w:rPr>
            <w:rFonts w:ascii="Times New Roman" w:cs="Times New Roman" w:eastAsia="Times New Roman" w:hAnsi="Times New Roman"/>
            <w:color w:val="1155cc"/>
            <w:sz w:val="28"/>
            <w:szCs w:val="28"/>
            <w:u w:val="single"/>
            <w:rtl w:val="0"/>
          </w:rPr>
          <w:t xml:space="preserve">Does Your Community Care About Children?</w:t>
        </w:r>
      </w:hyperlink>
      <w:r w:rsidDel="00000000" w:rsidR="00000000" w:rsidRPr="00000000">
        <w:rPr>
          <w:rFonts w:ascii="Times New Roman" w:cs="Times New Roman" w:eastAsia="Times New Roman" w:hAnsi="Times New Roman"/>
          <w:sz w:val="28"/>
          <w:szCs w:val="28"/>
          <w:rtl w:val="0"/>
        </w:rPr>
        <w:t xml:space="preserve">”, we examine how poverty, malnutrition, pollution, and inadequate healthcare intertwine to undermine opportunity from the start. We ask readers to consider a difficult but necessary question: Does your community truly care about children—or does it tolerate the conditions that make them sick?</w:t>
      </w:r>
    </w:p>
    <w:p w:rsidR="00000000" w:rsidDel="00000000" w:rsidP="00000000" w:rsidRDefault="00000000" w:rsidRPr="00000000" w14:paraId="0000000E">
      <w:pPr>
        <w:spacing w:after="240" w:befor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sz w:val="28"/>
          <w:szCs w:val="28"/>
          <w:rtl w:val="0"/>
        </w:rPr>
        <w:t xml:space="preserve">Poverty and Health: The Vicious Cycle</w:t>
      </w:r>
      <w:r w:rsidDel="00000000" w:rsidR="00000000" w:rsidRPr="00000000">
        <w:rPr>
          <w:rtl w:val="0"/>
        </w:rPr>
      </w:r>
    </w:p>
    <w:p w:rsidR="00000000" w:rsidDel="00000000" w:rsidP="00000000" w:rsidRDefault="00000000" w:rsidRPr="00000000" w14:paraId="0000000F">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Income thresholds often measure poverty, but its lived reality is multidimensional. It encompasses access to safe housing, clean water, reliable food, healthcare, transportation, and time. Families raising children with disabilities face additional economic strain, as the costs of care, specialized services, and lost work time often increase financial vulnerability and make it more difficult to escape poverty. A family can hover just above the official poverty line and still lack the stability required for health. Many families live not in official poverty but in close proximity to it. They are one paycheck away from crisis—managing rising rent, medical bills, or unstable employment while carrying debts that could tip them into hardship overnight. This “edge of poverty” represents a vast swath of society. Understanding children’s health requires recognizing not only those in deep poverty but also those living with the constant risk of falling into it.</w:t>
      </w:r>
    </w:p>
    <w:p w:rsidR="00000000" w:rsidDel="00000000" w:rsidP="00000000" w:rsidRDefault="00000000" w:rsidRPr="00000000" w14:paraId="00000010">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disparities in youth health indicators between low-income and higher-income communities are stark. According to data derived from the U.S. Census Bureau, roughly </w:t>
      </w:r>
      <w:hyperlink r:id="rId20">
        <w:r w:rsidDel="00000000" w:rsidR="00000000" w:rsidRPr="00000000">
          <w:rPr>
            <w:rFonts w:ascii="Times New Roman" w:cs="Times New Roman" w:eastAsia="Times New Roman" w:hAnsi="Times New Roman"/>
            <w:color w:val="1155cc"/>
            <w:sz w:val="28"/>
            <w:szCs w:val="28"/>
            <w:u w:val="single"/>
            <w:rtl w:val="0"/>
          </w:rPr>
          <w:t xml:space="preserve">11 million children</w:t>
        </w:r>
      </w:hyperlink>
      <w:r w:rsidDel="00000000" w:rsidR="00000000" w:rsidRPr="00000000">
        <w:rPr>
          <w:rFonts w:ascii="Times New Roman" w:cs="Times New Roman" w:eastAsia="Times New Roman" w:hAnsi="Times New Roman"/>
          <w:sz w:val="28"/>
          <w:szCs w:val="28"/>
          <w:rtl w:val="0"/>
        </w:rPr>
        <w:t xml:space="preserve"> in the United States live in poverty, representing about one in six American children, while millions more hover just above the official poverty line. According to research from Feeding America, roughly </w:t>
      </w:r>
      <w:hyperlink r:id="rId21">
        <w:r w:rsidDel="00000000" w:rsidR="00000000" w:rsidRPr="00000000">
          <w:rPr>
            <w:rFonts w:ascii="Times New Roman" w:cs="Times New Roman" w:eastAsia="Times New Roman" w:hAnsi="Times New Roman"/>
            <w:color w:val="1155cc"/>
            <w:sz w:val="28"/>
            <w:szCs w:val="28"/>
            <w:u w:val="single"/>
            <w:rtl w:val="0"/>
          </w:rPr>
          <w:t xml:space="preserve">one in five American children</w:t>
        </w:r>
      </w:hyperlink>
      <w:r w:rsidDel="00000000" w:rsidR="00000000" w:rsidRPr="00000000">
        <w:rPr>
          <w:rFonts w:ascii="Times New Roman" w:cs="Times New Roman" w:eastAsia="Times New Roman" w:hAnsi="Times New Roman"/>
          <w:sz w:val="28"/>
          <w:szCs w:val="28"/>
          <w:rtl w:val="0"/>
        </w:rPr>
        <w:t xml:space="preserve"> experiences food insecurity at some point during the year, meaning they lack consistent access to enough nutritious food for healthy development. Health disparities follow these economic lines: children in low-income communities are significantly more likely to suffer from asthma, untreated dental disease, and preventable hospitalizations. Children in poorer neighborhoods experience higher rates of asthma, obesity, untreated dental disease, and developmental delays. They are more likely to lack consistent primary care and less likely to receive preventative screenings.</w:t>
      </w:r>
    </w:p>
    <w:p w:rsidR="00000000" w:rsidDel="00000000" w:rsidP="00000000" w:rsidRDefault="00000000" w:rsidRPr="00000000" w14:paraId="0000001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Stress is a central and often overlooked factor. Children living in poverty endure chronic stress—about food, housing, safety, and parental employment. Prolonged exposure to stress hormones can impair cognitive development and immune function, and has been linked to increased risk of chronic and autoimmune conditions later in life. </w:t>
      </w:r>
      <w:r w:rsidDel="00000000" w:rsidR="00000000" w:rsidRPr="00000000">
        <w:rPr>
          <w:rFonts w:ascii="Times New Roman" w:cs="Times New Roman" w:eastAsia="Times New Roman" w:hAnsi="Times New Roman"/>
          <w:sz w:val="28"/>
          <w:szCs w:val="28"/>
          <w:rtl w:val="0"/>
        </w:rPr>
        <w:t xml:space="preserve">As noted above, even in more privileged households, children are not immune to stress; performance anxiety and relentless competition can create their own mental health burdens. </w:t>
      </w:r>
      <w:r w:rsidDel="00000000" w:rsidR="00000000" w:rsidRPr="00000000">
        <w:rPr>
          <w:rFonts w:ascii="Times New Roman" w:cs="Times New Roman" w:eastAsia="Times New Roman" w:hAnsi="Times New Roman"/>
          <w:sz w:val="28"/>
          <w:szCs w:val="28"/>
          <w:rtl w:val="0"/>
        </w:rPr>
        <w:t xml:space="preserve">Privilege may buffer material risk, but it does not eliminate psychological strain. Yet poverty magnifies vulnerability. These pressures unfold within a broader system shaped by scarcity. Public budgets often contract in the name of fiscal restraint, and the effects ripple outward through communities already under strain. Hospitals merge or close in low-income neighborhoods. Schools disappear or consolidate. Testing regimes narrow definitions of success, leaving many children labeled as failing before they have had a fair chance to thrive. For families living on the edge of poverty, the shrinking of public services compounds insecurity and deepens health risks.</w:t>
      </w:r>
    </w:p>
    <w:p w:rsidR="00000000" w:rsidDel="00000000" w:rsidP="00000000" w:rsidRDefault="00000000" w:rsidRPr="00000000" w14:paraId="0000001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Family instability compounds these pressures. Parents working multiple jobs, facing unpredictable schedules, or living under the threat of deportation may struggle to ensure regular medical visits. Without consistent healthcare contact, minor conditions become major ones. A lingering cough can become chronic asthma; an untreated ear infection can affect hearing and language acquisition.</w:t>
      </w:r>
    </w:p>
    <w:p w:rsidR="00000000" w:rsidDel="00000000" w:rsidP="00000000" w:rsidRDefault="00000000" w:rsidRPr="00000000" w14:paraId="00000013">
      <w:pPr>
        <w:spacing w:after="240" w:befor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Beyond material deprivation lies what might be called a poverty of respect and freedom. Immigrant children, racial and religious minorities, slow learners, LGBTQ+ and gender-nonconforming youth, and children whose bodies do not conform to cultural ideals often experience stigma and exclusion. </w:t>
      </w:r>
      <w:hyperlink r:id="rId22">
        <w:r w:rsidDel="00000000" w:rsidR="00000000" w:rsidRPr="00000000">
          <w:rPr>
            <w:rFonts w:ascii="Times New Roman" w:cs="Times New Roman" w:eastAsia="Times New Roman" w:hAnsi="Times New Roman"/>
            <w:color w:val="1155cc"/>
            <w:sz w:val="28"/>
            <w:szCs w:val="28"/>
            <w:u w:val="single"/>
            <w:rtl w:val="0"/>
          </w:rPr>
          <w:t xml:space="preserve">Marginalization erodes self-worth</w:t>
        </w:r>
      </w:hyperlink>
      <w:r w:rsidDel="00000000" w:rsidR="00000000" w:rsidRPr="00000000">
        <w:rPr>
          <w:rFonts w:ascii="Times New Roman" w:cs="Times New Roman" w:eastAsia="Times New Roman" w:hAnsi="Times New Roman"/>
          <w:sz w:val="28"/>
          <w:szCs w:val="28"/>
          <w:rtl w:val="0"/>
        </w:rPr>
        <w:t xml:space="preserve"> and increases risks of anxiety, depression, and suicidal ideation. Social isolation is not just emotional—it is physiological. When children feel unsafe or unseen, their bodies respond.</w:t>
      </w:r>
      <w:r w:rsidDel="00000000" w:rsidR="00000000" w:rsidRPr="00000000">
        <w:rPr>
          <w:rtl w:val="0"/>
        </w:rPr>
      </w:r>
    </w:p>
    <w:p w:rsidR="00000000" w:rsidDel="00000000" w:rsidP="00000000" w:rsidRDefault="00000000" w:rsidRPr="00000000" w14:paraId="0000001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cycle is relentless. Chronic and recurring health problems lead to absenteeism. Absenteeism undermines academic performance. Lower academic performance narrows future employment prospects. Meanwhile, parents miss work to care for sick children, reducing household income. Medical bills accumulate. Stress deepens. Poverty and illness feed each other.</w:t>
      </w:r>
    </w:p>
    <w:p w:rsidR="00000000" w:rsidDel="00000000" w:rsidP="00000000" w:rsidRDefault="00000000" w:rsidRPr="00000000" w14:paraId="0000001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children growing up near the edge of poverty, the experience of scarcity is both immediate and cumulative. Daily hardships—unpaid bills, crowded housing, uncertainty about meals—can produce anxiety that shadows childhood. Over time, that anxiety may harden into anger, hopelessness, or even self-blame, as children internalize circumstances beyond their control. The emotional toll is profound. Yet anxiety is not confined to the poor; children in affluent households often feel intense pressure to succeed. What distinguishes poverty is not the existence of stress—even in affluent families, stress can be intense and persistent—but the limited capacity to buffer its effects and mitigate its health consequences.</w:t>
      </w:r>
    </w:p>
    <w:p w:rsidR="00000000" w:rsidDel="00000000" w:rsidP="00000000" w:rsidRDefault="00000000" w:rsidRPr="00000000" w14:paraId="00000016">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Globally, hundreds of millions of children suffer from stunting and other forms of malnutrition, with an estimated </w:t>
      </w:r>
      <w:hyperlink r:id="rId23">
        <w:r w:rsidDel="00000000" w:rsidR="00000000" w:rsidRPr="00000000">
          <w:rPr>
            <w:rFonts w:ascii="Times New Roman" w:cs="Times New Roman" w:eastAsia="Times New Roman" w:hAnsi="Times New Roman"/>
            <w:color w:val="1155cc"/>
            <w:sz w:val="28"/>
            <w:szCs w:val="28"/>
            <w:u w:val="single"/>
            <w:rtl w:val="0"/>
          </w:rPr>
          <w:t xml:space="preserve">149 million children</w:t>
        </w:r>
      </w:hyperlink>
      <w:r w:rsidDel="00000000" w:rsidR="00000000" w:rsidRPr="00000000">
        <w:rPr>
          <w:rFonts w:ascii="Times New Roman" w:cs="Times New Roman" w:eastAsia="Times New Roman" w:hAnsi="Times New Roman"/>
          <w:sz w:val="28"/>
          <w:szCs w:val="28"/>
          <w:rtl w:val="0"/>
        </w:rPr>
        <w:t xml:space="preserve">, as of 2022, under age five too short for their age due to chronic undernutrition, alongside tens of millions more affected by wasting and micronutrient deficiencies—conditions that undermine physical and cognitive development. In the United States, millions rely on the </w:t>
      </w:r>
      <w:hyperlink r:id="rId24">
        <w:r w:rsidDel="00000000" w:rsidR="00000000" w:rsidRPr="00000000">
          <w:rPr>
            <w:rFonts w:ascii="Times New Roman" w:cs="Times New Roman" w:eastAsia="Times New Roman" w:hAnsi="Times New Roman"/>
            <w:color w:val="1155cc"/>
            <w:sz w:val="28"/>
            <w:szCs w:val="28"/>
            <w:u w:val="single"/>
            <w:rtl w:val="0"/>
          </w:rPr>
          <w:t xml:space="preserve">Supplemental Nutrition Assistance Program</w:t>
        </w:r>
      </w:hyperlink>
      <w:r w:rsidDel="00000000" w:rsidR="00000000" w:rsidRPr="00000000">
        <w:rPr>
          <w:rFonts w:ascii="Times New Roman" w:cs="Times New Roman" w:eastAsia="Times New Roman" w:hAnsi="Times New Roman"/>
          <w:sz w:val="28"/>
          <w:szCs w:val="28"/>
          <w:rtl w:val="0"/>
        </w:rPr>
        <w:t xml:space="preserve"> (SNAP). Many families are one paycheck away from hunger. The “near-poor”—those slightly above official poverty thresholds—often lack safety nets yet do not qualify for assistance. Millions of children remain uninsured or underinsured.</w:t>
      </w:r>
    </w:p>
    <w:p w:rsidR="00000000" w:rsidDel="00000000" w:rsidP="00000000" w:rsidRDefault="00000000" w:rsidRPr="00000000" w14:paraId="00000017">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Parental engagement in schools also reflects these layers. Middle-class parents often have flexible schedules, transportation, and cultural confidence that allow them to attend meetings and advocate for their children. Parents in low-wage jobs may lack paid time off, reliable childcare, or access to language services. Lower attendance at school events is frequently misinterpreted as indifference rather than structural constraint, further isolating families who most need institutional partnership.</w:t>
      </w:r>
    </w:p>
    <w:p w:rsidR="00000000" w:rsidDel="00000000" w:rsidP="00000000" w:rsidRDefault="00000000" w:rsidRPr="00000000" w14:paraId="00000018">
      <w:pP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Nutrition: Fuel for Growth and Learning</w:t>
      </w:r>
    </w:p>
    <w:p w:rsidR="00000000" w:rsidDel="00000000" w:rsidP="00000000" w:rsidRDefault="00000000" w:rsidRPr="00000000" w14:paraId="00000019">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Adequate nutrition is essential for brain development. Iron deficiency impairs attention and memory. Iron deficiency impairs attention and memory. Inadequate protein affects growth and cognitive processing. Vitamin deficiencies can disrupt neurological function. During childhood, when neural connections are forming rapidly, nutritional gaps have lasting consequences.</w:t>
      </w:r>
    </w:p>
    <w:p w:rsidR="00000000" w:rsidDel="00000000" w:rsidP="00000000" w:rsidRDefault="00000000" w:rsidRPr="00000000" w14:paraId="0000001A">
      <w:pPr>
        <w:spacing w:after="240" w:befor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Stunting—a condition associated with chronic undernutrition—correlates with lower educational attainment and earnings later in life. Even mild, persistent hunger can reduce concentration and impulse control.</w:t>
      </w:r>
      <w:r w:rsidDel="00000000" w:rsidR="00000000" w:rsidRPr="00000000">
        <w:rPr>
          <w:rtl w:val="0"/>
        </w:rPr>
      </w:r>
    </w:p>
    <w:p w:rsidR="00000000" w:rsidDel="00000000" w:rsidP="00000000" w:rsidRDefault="00000000" w:rsidRPr="00000000" w14:paraId="0000001B">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Hunger manifests in classrooms as fatigue, irritability, and difficulty focusing. Teachers may see behavioral issues without recognizing their biological roots. In both urban and rural fenceline communities—areas where poverty intersects with environmental hazards—food insecurity is common. Corner stores replace supermarkets; fresh produce is scarce or expensive.</w:t>
      </w:r>
    </w:p>
    <w:p w:rsidR="00000000" w:rsidDel="00000000" w:rsidP="00000000" w:rsidRDefault="00000000" w:rsidRPr="00000000" w14:paraId="0000001C">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School meal programs are often a lifeline. For children on the edge of hunger, breakfast and lunch at school may be the most reliable meals of the day. Yet these programs are frequently underfunded or politically contested, particularly when offered universally. Critics sometimes argue that students who “do not need” assistance may benefit, while </w:t>
      </w:r>
      <w:hyperlink r:id="rId25">
        <w:r w:rsidDel="00000000" w:rsidR="00000000" w:rsidRPr="00000000">
          <w:rPr>
            <w:rFonts w:ascii="Times New Roman" w:cs="Times New Roman" w:eastAsia="Times New Roman" w:hAnsi="Times New Roman"/>
            <w:color w:val="1155cc"/>
            <w:sz w:val="28"/>
            <w:szCs w:val="28"/>
            <w:u w:val="single"/>
            <w:rtl w:val="0"/>
          </w:rPr>
          <w:t xml:space="preserve">research</w:t>
        </w:r>
      </w:hyperlink>
      <w:r w:rsidDel="00000000" w:rsidR="00000000" w:rsidRPr="00000000">
        <w:rPr>
          <w:rFonts w:ascii="Times New Roman" w:cs="Times New Roman" w:eastAsia="Times New Roman" w:hAnsi="Times New Roman"/>
          <w:sz w:val="28"/>
          <w:szCs w:val="28"/>
          <w:rtl w:val="0"/>
        </w:rPr>
        <w:t xml:space="preserve"> shows that universal access reduces stigma and that school meal programs are associated with improved attendance and classroom engagement. When budgets tighten, food quality and accessibility suffer.</w:t>
      </w:r>
    </w:p>
    <w:p w:rsidR="00000000" w:rsidDel="00000000" w:rsidP="00000000" w:rsidRDefault="00000000" w:rsidRPr="00000000" w14:paraId="0000001D">
      <w:pPr>
        <w:spacing w:after="240" w:befor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When school meal programs are cut or underfunded, hunger becomes more than misfortune. It becomes structural neglect—deprivation tolerated in the name of fiscal prudence. It should never be a choice between feeding children and balancing budgets.</w:t>
      </w:r>
      <w:r w:rsidDel="00000000" w:rsidR="00000000" w:rsidRPr="00000000">
        <w:rPr>
          <w:rtl w:val="0"/>
        </w:rPr>
      </w:r>
    </w:p>
    <w:p w:rsidR="00000000" w:rsidDel="00000000" w:rsidP="00000000" w:rsidRDefault="00000000" w:rsidRPr="00000000" w14:paraId="0000001E">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Poor nutrition reduces attention and memory. Reduced cognitive function leads to lower test scores. Lower performance narrows educational pathways. The dominoes fall predictably. Investments in education cannot compensate for empty stomachs.</w:t>
      </w:r>
    </w:p>
    <w:p w:rsidR="00000000" w:rsidDel="00000000" w:rsidP="00000000" w:rsidRDefault="00000000" w:rsidRPr="00000000" w14:paraId="0000001F">
      <w:pPr>
        <w:spacing w:after="240" w:befor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sz w:val="28"/>
          <w:szCs w:val="28"/>
          <w:rtl w:val="0"/>
        </w:rPr>
        <w:t xml:space="preserve">Environmental Health: Pollution and Childhood Vulnerability</w:t>
      </w:r>
      <w:r w:rsidDel="00000000" w:rsidR="00000000" w:rsidRPr="00000000">
        <w:rPr>
          <w:rtl w:val="0"/>
        </w:rPr>
      </w:r>
    </w:p>
    <w:p w:rsidR="00000000" w:rsidDel="00000000" w:rsidP="00000000" w:rsidRDefault="00000000" w:rsidRPr="00000000" w14:paraId="00000020">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Fenceline communities—neighborhoods situated near highways, refineries, landfills, or industrial plants—are disproportionately low-income and often communities of color. Here, poverty and pollution intersect. In Louisiana’s industrial corridor—often called “</w:t>
      </w:r>
      <w:hyperlink r:id="rId26">
        <w:r w:rsidDel="00000000" w:rsidR="00000000" w:rsidRPr="00000000">
          <w:rPr>
            <w:rFonts w:ascii="Times New Roman" w:cs="Times New Roman" w:eastAsia="Times New Roman" w:hAnsi="Times New Roman"/>
            <w:color w:val="1155cc"/>
            <w:sz w:val="28"/>
            <w:szCs w:val="28"/>
            <w:u w:val="single"/>
            <w:rtl w:val="0"/>
          </w:rPr>
          <w:t xml:space="preserve">Cancer Alley</w:t>
        </w:r>
      </w:hyperlink>
      <w:r w:rsidDel="00000000" w:rsidR="00000000" w:rsidRPr="00000000">
        <w:rPr>
          <w:rFonts w:ascii="Times New Roman" w:cs="Times New Roman" w:eastAsia="Times New Roman" w:hAnsi="Times New Roman"/>
          <w:sz w:val="28"/>
          <w:szCs w:val="28"/>
          <w:rtl w:val="0"/>
        </w:rPr>
        <w:t xml:space="preserve">”—families living near petrochemical plants report high rates of asthma and respiratory illness among children. Investigations by </w:t>
      </w:r>
      <w:hyperlink r:id="rId27">
        <w:r w:rsidDel="00000000" w:rsidR="00000000" w:rsidRPr="00000000">
          <w:rPr>
            <w:rFonts w:ascii="Times New Roman" w:cs="Times New Roman" w:eastAsia="Times New Roman" w:hAnsi="Times New Roman"/>
            <w:color w:val="1155cc"/>
            <w:sz w:val="28"/>
            <w:szCs w:val="28"/>
            <w:u w:val="single"/>
            <w:rtl w:val="0"/>
          </w:rPr>
          <w:t xml:space="preserve">ProPublica</w:t>
        </w:r>
      </w:hyperlink>
      <w:r w:rsidDel="00000000" w:rsidR="00000000" w:rsidRPr="00000000">
        <w:rPr>
          <w:rFonts w:ascii="Times New Roman" w:cs="Times New Roman" w:eastAsia="Times New Roman" w:hAnsi="Times New Roman"/>
          <w:sz w:val="28"/>
          <w:szCs w:val="28"/>
          <w:rtl w:val="0"/>
        </w:rPr>
        <w:t xml:space="preserve">, </w:t>
      </w:r>
      <w:hyperlink r:id="rId28">
        <w:r w:rsidDel="00000000" w:rsidR="00000000" w:rsidRPr="00000000">
          <w:rPr>
            <w:rFonts w:ascii="Times New Roman" w:cs="Times New Roman" w:eastAsia="Times New Roman" w:hAnsi="Times New Roman"/>
            <w:color w:val="1155cc"/>
            <w:sz w:val="28"/>
            <w:szCs w:val="28"/>
            <w:u w:val="single"/>
            <w:rtl w:val="0"/>
          </w:rPr>
          <w:t xml:space="preserve">Reuters</w:t>
        </w:r>
      </w:hyperlink>
      <w:r w:rsidDel="00000000" w:rsidR="00000000" w:rsidRPr="00000000">
        <w:rPr>
          <w:rFonts w:ascii="Times New Roman" w:cs="Times New Roman" w:eastAsia="Times New Roman" w:hAnsi="Times New Roman"/>
          <w:sz w:val="28"/>
          <w:szCs w:val="28"/>
          <w:rtl w:val="0"/>
        </w:rPr>
        <w:t xml:space="preserve">, and other news organizations have documented communities and schools located near refineries and chemical facilities where residents face elevated exposure to hazardous air pollutants from nearby industrial plants.</w:t>
      </w:r>
    </w:p>
    <w:p w:rsidR="00000000" w:rsidDel="00000000" w:rsidP="00000000" w:rsidRDefault="00000000" w:rsidRPr="00000000" w14:paraId="00000021">
      <w:pPr>
        <w:spacing w:after="240" w:befor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For children growing up in these communities, environmental exposure is not an occasional risk but a daily reality: They are exposed to elevated levels of particulate matter, lead, and industrial chemicals. Substandard housing may compound exposure through mold and deteriorating paint.</w:t>
      </w:r>
      <w:r w:rsidDel="00000000" w:rsidR="00000000" w:rsidRPr="00000000">
        <w:rPr>
          <w:rtl w:val="0"/>
        </w:rPr>
      </w:r>
    </w:p>
    <w:p w:rsidR="00000000" w:rsidDel="00000000" w:rsidP="00000000" w:rsidRDefault="00000000" w:rsidRPr="00000000" w14:paraId="0000002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Respiratory illnesses such as asthma are more prevalent in polluted neighborhoods. Lead exposure is linked to developmental delays and behavioral challenges. Chronic exposure to toxins can impair the immune system and increase susceptibility to infection.</w:t>
      </w:r>
    </w:p>
    <w:p w:rsidR="00000000" w:rsidDel="00000000" w:rsidP="00000000" w:rsidRDefault="00000000" w:rsidRPr="00000000" w14:paraId="0000002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These environmental burdens interact with poor nutrition and chronic stress. A child who is malnourished and stressed may be biologically less resilient to toxins. Compounded risks amplify vulnerability.</w:t>
      </w:r>
    </w:p>
    <w:p w:rsidR="00000000" w:rsidDel="00000000" w:rsidP="00000000" w:rsidRDefault="00000000" w:rsidRPr="00000000" w14:paraId="0000002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Pollution-related illnesses contribute to school absences and long-term cognitive impacts. A child struggling to breathe cannot focus on algebra.</w:t>
      </w:r>
    </w:p>
    <w:p w:rsidR="00000000" w:rsidDel="00000000" w:rsidP="00000000" w:rsidRDefault="00000000" w:rsidRPr="00000000" w14:paraId="00000025">
      <w:pPr>
        <w:spacing w:after="240" w:befor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sz w:val="28"/>
          <w:szCs w:val="28"/>
          <w:rtl w:val="0"/>
        </w:rPr>
        <w:t xml:space="preserve">Barriers to Healthcare Access</w:t>
      </w:r>
      <w:r w:rsidDel="00000000" w:rsidR="00000000" w:rsidRPr="00000000">
        <w:rPr>
          <w:rtl w:val="0"/>
        </w:rPr>
      </w:r>
    </w:p>
    <w:p w:rsidR="00000000" w:rsidDel="00000000" w:rsidP="00000000" w:rsidRDefault="00000000" w:rsidRPr="00000000" w14:paraId="00000026">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Despite public programs, gaps remain. Insurance coverage may be inconsistent. Copays and deductibles deter visits. Some families lack transportation or fear engaging with institutions.</w:t>
      </w:r>
    </w:p>
    <w:p w:rsidR="00000000" w:rsidDel="00000000" w:rsidP="00000000" w:rsidRDefault="00000000" w:rsidRPr="00000000" w14:paraId="00000027">
      <w:pPr>
        <w:spacing w:after="240" w:befor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Irregular contact with healthcare systems means many children miss preventative screenings and early interventions. Without routine care, treatable conditions go unnoticed until they become crises. Preventive care should not be a luxury, yet access to it remains uneven, making it foundational to opportunity for those who receive it. Delayed diagnoses of vision problems, learning disabilities, or chronic conditions can alter educational trajectories. What could have been addressed early becomes entrenched.</w:t>
      </w:r>
      <w:r w:rsidDel="00000000" w:rsidR="00000000" w:rsidRPr="00000000">
        <w:rPr>
          <w:rtl w:val="0"/>
        </w:rPr>
      </w:r>
    </w:p>
    <w:p w:rsidR="00000000" w:rsidDel="00000000" w:rsidP="00000000" w:rsidRDefault="00000000" w:rsidRPr="00000000" w14:paraId="00000028">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Caregivers absorb the strain. Missed workdays reduce income. Stress accumulates. Social services face increased demand. The broader economy bears costs in the form of lost productivity and higher emergency care expenditures.</w:t>
      </w:r>
    </w:p>
    <w:p w:rsidR="00000000" w:rsidDel="00000000" w:rsidP="00000000" w:rsidRDefault="00000000" w:rsidRPr="00000000" w14:paraId="00000029">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Families with limited education, language access, or time to engage with institutions are often left outside the flow of information that shapes health decisions. </w:t>
      </w:r>
      <w:r w:rsidDel="00000000" w:rsidR="00000000" w:rsidRPr="00000000">
        <w:rPr>
          <w:rFonts w:ascii="Times New Roman" w:cs="Times New Roman" w:eastAsia="Times New Roman" w:hAnsi="Times New Roman"/>
          <w:sz w:val="28"/>
          <w:szCs w:val="28"/>
          <w:rtl w:val="0"/>
        </w:rPr>
        <w:t xml:space="preserve">Without sustained institutional partnership, language barriers can further limit access to health information, affecting treatment decisions and preventive practices such as wound care and vaccinations.</w:t>
      </w:r>
      <w:r w:rsidDel="00000000" w:rsidR="00000000" w:rsidRPr="00000000">
        <w:rPr>
          <w:rFonts w:ascii="Times New Roman" w:cs="Times New Roman" w:eastAsia="Times New Roman" w:hAnsi="Times New Roman"/>
          <w:sz w:val="28"/>
          <w:szCs w:val="28"/>
          <w:rtl w:val="0"/>
        </w:rPr>
        <w:t xml:space="preserve"> In schools, where teachers often rely on collaboration with parents to support children with learning or behavioral challenges, limited parental capacity can mean that children do not receive the interventions they need. In multilingual communities, information about school meals, healthcare programs, or preventive services may be available only in English or Spanish, leaving many families unable to navigate systems designed to help them. Audits of public health systems have found widespread </w:t>
      </w:r>
      <w:hyperlink r:id="rId29">
        <w:r w:rsidDel="00000000" w:rsidR="00000000" w:rsidRPr="00000000">
          <w:rPr>
            <w:rFonts w:ascii="Times New Roman" w:cs="Times New Roman" w:eastAsia="Times New Roman" w:hAnsi="Times New Roman"/>
            <w:color w:val="1155cc"/>
            <w:sz w:val="28"/>
            <w:szCs w:val="28"/>
            <w:u w:val="single"/>
            <w:rtl w:val="0"/>
          </w:rPr>
          <w:t xml:space="preserve">failures in language access</w:t>
        </w:r>
      </w:hyperlink>
      <w:r w:rsidDel="00000000" w:rsidR="00000000" w:rsidRPr="00000000">
        <w:rPr>
          <w:rFonts w:ascii="Times New Roman" w:cs="Times New Roman" w:eastAsia="Times New Roman" w:hAnsi="Times New Roman"/>
          <w:sz w:val="28"/>
          <w:szCs w:val="28"/>
          <w:rtl w:val="0"/>
        </w:rPr>
        <w:t xml:space="preserve">, with many patients unable to reach interpreters or even learn that such services are available, underscoring how institutional gaps—not individual behavior—shape access to care.</w:t>
      </w:r>
    </w:p>
    <w:p w:rsidR="00000000" w:rsidDel="00000000" w:rsidP="00000000" w:rsidRDefault="00000000" w:rsidRPr="00000000" w14:paraId="0000002A">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Without accessible information and trusted healthcare relationships, myths about vaccines or treatments can spread more easily. Structural barriers—not ignorance—drive vulnerability. These barriers often persist across generations, as families who have long faced limited access to education, healthcare, and institutional support continue to encounter obstacles to reliable health information.</w:t>
      </w:r>
    </w:p>
    <w:p w:rsidR="00000000" w:rsidDel="00000000" w:rsidP="00000000" w:rsidRDefault="00000000" w:rsidRPr="00000000" w14:paraId="0000002B">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Countries that guarantee universal pediatric care often report lower rates of preventable hospitalizations and narrower health disparities among children. Where access is universal, opportunity is more evenly distributed. The lesson is clear: access matters.</w:t>
      </w:r>
    </w:p>
    <w:p w:rsidR="00000000" w:rsidDel="00000000" w:rsidP="00000000" w:rsidRDefault="00000000" w:rsidRPr="00000000" w14:paraId="0000002C">
      <w:pPr>
        <w:spacing w:after="240" w:befor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sz w:val="28"/>
          <w:szCs w:val="28"/>
          <w:rtl w:val="0"/>
        </w:rPr>
        <w:t xml:space="preserve">Education and Health: Intertwined Outcomes</w:t>
      </w:r>
      <w:r w:rsidDel="00000000" w:rsidR="00000000" w:rsidRPr="00000000">
        <w:rPr>
          <w:rtl w:val="0"/>
        </w:rPr>
      </w:r>
    </w:p>
    <w:p w:rsidR="00000000" w:rsidDel="00000000" w:rsidP="00000000" w:rsidRDefault="00000000" w:rsidRPr="00000000" w14:paraId="0000002D">
      <w:pPr>
        <w:spacing w:after="240" w:befor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Chronic absenteeism correlates strongly with lower academic achievement. Illness is a leading cause. Each missed day compounds learning gaps.</w:t>
      </w:r>
      <w:r w:rsidDel="00000000" w:rsidR="00000000" w:rsidRPr="00000000">
        <w:rPr>
          <w:rtl w:val="0"/>
        </w:rPr>
      </w:r>
    </w:p>
    <w:p w:rsidR="00000000" w:rsidDel="00000000" w:rsidP="00000000" w:rsidRDefault="00000000" w:rsidRPr="00000000" w14:paraId="0000002E">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Health shapes social experience. A child who is frequently absent may struggle to maintain friendships. Visible illness or disability can invite stigma. Research links emotional well-being and a sense of belonging to improved physical health outcomes. When poverty erodes self-respect and social standing, mental and physiological resilience decline.</w:t>
      </w:r>
    </w:p>
    <w:p w:rsidR="00000000" w:rsidDel="00000000" w:rsidP="00000000" w:rsidRDefault="00000000" w:rsidRPr="00000000" w14:paraId="0000002F">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Schools often serve as critical support systems. Teachers, counselors, and school nurses notice warning signs. For some children, school is the safest environment they know. Yet testing pressures and budget constraints can sideline those who do not “shine” academically, including students with learning differences or neurodivergent needs whose strengths may not align with standardized curricula. When resources shrink, enrichment and counseling may be cut first.</w:t>
      </w:r>
    </w:p>
    <w:p w:rsidR="00000000" w:rsidDel="00000000" w:rsidP="00000000" w:rsidRDefault="00000000" w:rsidRPr="00000000" w14:paraId="00000030">
      <w:pPr>
        <w:spacing w:after="240" w:befor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Mental health disparities linked to social marginalization intersect with attendance, attention, and peer relationships. Immigrant children navigating language barriers, LGBTQ+ youth facing bullying, and slow learners struggling under standardized testing regimes all experience heightened stress. The educational and health gaps widen together.</w:t>
      </w:r>
      <w:r w:rsidDel="00000000" w:rsidR="00000000" w:rsidRPr="00000000">
        <w:rPr>
          <w:rtl w:val="0"/>
        </w:rPr>
      </w:r>
    </w:p>
    <w:p w:rsidR="00000000" w:rsidDel="00000000" w:rsidP="00000000" w:rsidRDefault="00000000" w:rsidRPr="00000000" w14:paraId="0000003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Educational attainment predicts employment prospects. Poor health in childhood narrows opportunity long before the job market beckons. The poverty cycle perpetuates itself.</w:t>
      </w:r>
    </w:p>
    <w:p w:rsidR="00000000" w:rsidDel="00000000" w:rsidP="00000000" w:rsidRDefault="00000000" w:rsidRPr="00000000" w14:paraId="00000032">
      <w:pPr>
        <w:spacing w:after="240" w:befor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b w:val="1"/>
          <w:bCs w:val="1"/>
          <w:sz w:val="28"/>
          <w:szCs w:val="28"/>
          <w:rtl w:val="0"/>
        </w:rPr>
        <w:t xml:space="preserve">Policy, Prevention, and Public Commitment</w:t>
      </w:r>
      <w:r w:rsidDel="00000000" w:rsidR="00000000" w:rsidRPr="00000000">
        <w:rPr>
          <w:rtl w:val="0"/>
        </w:rPr>
      </w:r>
    </w:p>
    <w:p w:rsidR="00000000" w:rsidDel="00000000" w:rsidP="00000000" w:rsidRDefault="00000000" w:rsidRPr="00000000" w14:paraId="0000003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Youth health is both a moral imperative and an economic necessity. School-based health centers, universal pediatric coverage, and robust nutrition programs represent investments in human potential. Across the United States, </w:t>
      </w:r>
      <w:hyperlink r:id="rId30">
        <w:r w:rsidDel="00000000" w:rsidR="00000000" w:rsidRPr="00000000">
          <w:rPr>
            <w:rFonts w:ascii="Times New Roman" w:cs="Times New Roman" w:eastAsia="Times New Roman" w:hAnsi="Times New Roman"/>
            <w:color w:val="1155cc"/>
            <w:sz w:val="28"/>
            <w:szCs w:val="28"/>
            <w:u w:val="single"/>
            <w:rtl w:val="0"/>
          </w:rPr>
          <w:t xml:space="preserve">more than 2,500 school-based health centers</w:t>
        </w:r>
      </w:hyperlink>
      <w:r w:rsidDel="00000000" w:rsidR="00000000" w:rsidRPr="00000000">
        <w:rPr>
          <w:rFonts w:ascii="Times New Roman" w:cs="Times New Roman" w:eastAsia="Times New Roman" w:hAnsi="Times New Roman"/>
          <w:sz w:val="28"/>
          <w:szCs w:val="28"/>
          <w:rtl w:val="0"/>
        </w:rPr>
        <w:t xml:space="preserve"> provide primary care, mental health counseling, and preventive services directly on school campuses, helping students receive care they might otherwise miss. Research shows that these centers can reduce absenteeism and improve students’ health outcomes. Expanding these models—alongside universal pediatric coverage—would move communities closer to ensuring that every child begins life with a fair chance at health and learning.</w:t>
      </w:r>
    </w:p>
    <w:p w:rsidR="00000000" w:rsidDel="00000000" w:rsidP="00000000" w:rsidRDefault="00000000" w:rsidRPr="00000000" w14:paraId="00000034">
      <w:pPr>
        <w:spacing w:after="240" w:befor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All health and education policies should be filtered through a simple standard: What is good for kids? Moral clarity aligns with pragmatic wisdom. Healthy children are more likely to become productive, civically engaged adults.</w:t>
      </w:r>
      <w:r w:rsidDel="00000000" w:rsidR="00000000" w:rsidRPr="00000000">
        <w:rPr>
          <w:rtl w:val="0"/>
        </w:rPr>
      </w:r>
    </w:p>
    <w:p w:rsidR="00000000" w:rsidDel="00000000" w:rsidP="00000000" w:rsidRDefault="00000000" w:rsidRPr="00000000" w14:paraId="0000003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Communities can act. Food security initiatives, pollution monitoring, enforcement of housing standards, and culturally competent health education make tangible differences. Community-based organizations often serve as critical intermediaries, helping families navigate healthcare systems and access services in their own language when formal systems fall short. Local governments can allocate resources to ensure children never face a choice between food and care—or between shelter and safety. Some communities have begun experimenting with creative solutions. In Illinois, for example, the state partnered with nonprofit organizations to purchase medical debt at pennies on the dollar, relieving thousands of families of burdens accumulated through illness and limited access to care. Efforts like these recognize that financial stress tied to health can ripple through entire households, affecting children’s stability and well-being.</w:t>
      </w:r>
    </w:p>
    <w:p w:rsidR="00000000" w:rsidDel="00000000" w:rsidP="00000000" w:rsidRDefault="00000000" w:rsidRPr="00000000" w14:paraId="00000036">
      <w:pPr>
        <w:spacing w:after="240" w:before="240" w:lineRule="auto"/>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tl w:val="0"/>
        </w:rPr>
        <w:t xml:space="preserve">Charity has its place, but children’s health should not depend on goodwill alone. A just community establishes a non-negotiable standard of care. Youth health is not discretionary spending—it is core infrastructure. Equally important is ensuring that services actually reach the families who need them. Treating low-income families as equal citizens means more than making programs available; it requires reaching out, communicating in accessible languages, and building trust within diverse communities. When information and services flow freely, families are better able to protect their children’s health.</w:t>
      </w:r>
      <w:r w:rsidDel="00000000" w:rsidR="00000000" w:rsidRPr="00000000">
        <w:rPr>
          <w:rtl w:val="0"/>
        </w:rPr>
      </w:r>
    </w:p>
    <w:p w:rsidR="00000000" w:rsidDel="00000000" w:rsidP="00000000" w:rsidRDefault="00000000" w:rsidRPr="00000000" w14:paraId="00000037">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Public investment in youth health multiplies returns. The question is not whether we can afford to act; it is whether we can afford not to. Communities, policymakers, educators, and families all play a role in shaping the conditions that determine children’s health and opportunity. Are our budgets, policies, and programs ensuring that every child has access to nutritious food, quality healthcare, and a safe environment—or are we tolerating preventable harm? Every decision, from funding school-based health centers to enforcing housing and environmental standards, is a statement about the value we place on our children’s future. Reflecting on these choices is the first step toward a community that truly cares about its youth.</w:t>
      </w:r>
    </w:p>
    <w:p w:rsidR="00000000" w:rsidDel="00000000" w:rsidP="00000000" w:rsidRDefault="00000000" w:rsidRPr="00000000" w14:paraId="00000038">
      <w:pP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Conclusion</w:t>
      </w:r>
    </w:p>
    <w:p w:rsidR="00000000" w:rsidDel="00000000" w:rsidP="00000000" w:rsidRDefault="00000000" w:rsidRPr="00000000" w14:paraId="00000039">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Childhood health inequity undermines opportunity and hope. When children are hungry, sick, or chronically stressed, they cannot learn, grow, or participate fully. The consequences ripple outward—to families, schools, and economies.</w:t>
      </w:r>
    </w:p>
    <w:p w:rsidR="00000000" w:rsidDel="00000000" w:rsidP="00000000" w:rsidRDefault="00000000" w:rsidRPr="00000000" w14:paraId="0000003A">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investigation in Peoria makes one reality unmistakable: illness tied to poverty is not accidental. It is the predictable result of neglected housing, inadequate oversight, and insufficient public commitment.</w:t>
      </w:r>
    </w:p>
    <w:p w:rsidR="00000000" w:rsidDel="00000000" w:rsidP="00000000" w:rsidRDefault="00000000" w:rsidRPr="00000000" w14:paraId="0000003B">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Ensuring children’s health is both a moral obligation and a practical investment in our collective future. But it is also a local responsibility. Communities can pay attention to the warning signs: hospital closures and mergers that reduce access to care, school and library closures that shrink opportunity, and gaps in information that leave families unable to navigate health and nutrition systems. They can insist that local media report not just on budgets and policy, but on how those decisions affect children.</w:t>
      </w:r>
    </w:p>
    <w:p w:rsidR="00000000" w:rsidDel="00000000" w:rsidP="00000000" w:rsidRDefault="00000000" w:rsidRPr="00000000" w14:paraId="0000003C">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They can also act directly. Every community contains networks of support—public health clinics, food banks, school-based services, legal aid organizations, and groups such as the United Way, faith congregations, Rotary clubs, and local service organizations —as well as more informal supports, such as community-led fundraising and crowdfunding. These institutions can be strengthened, held accountable, and made more accessible. Residents can advocate for better communication in multiple languages, file complaints when services fail, and help ensure that existing programs reach the families who need them most.</w:t>
      </w:r>
    </w:p>
    <w:p w:rsidR="00000000" w:rsidDel="00000000" w:rsidP="00000000" w:rsidRDefault="00000000" w:rsidRPr="00000000" w14:paraId="0000003D">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 budgets, policies, and priorities are filtered through the lens of what benefits children, societies interrupt cycles of poverty and illness.</w:t>
      </w:r>
    </w:p>
    <w:p w:rsidR="00000000" w:rsidDel="00000000" w:rsidP="00000000" w:rsidRDefault="00000000" w:rsidRPr="00000000" w14:paraId="0000003E">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Does your community care about children? The answer is written not in slogans, but in school meal budgets, clinic hours, housing inspections, air quality reports—and in whether children are allowed to grow up healthy enough to learn, imagine, and thrive.</w:t>
      </w:r>
    </w:p>
    <w:p w:rsidR="00000000" w:rsidDel="00000000" w:rsidP="00000000" w:rsidRDefault="00000000" w:rsidRPr="00000000" w14:paraId="0000003F">
      <w:pPr>
        <w:spacing w:after="200" w:lineRule="auto"/>
        <w:rPr>
          <w:rFonts w:ascii="Times New Roman" w:cs="Times New Roman" w:eastAsia="Times New Roman" w:hAnsi="Times New Roman"/>
          <w:sz w:val="28"/>
          <w:szCs w:val="28"/>
        </w:rPr>
      </w:pPr>
      <w:r w:rsidDel="00000000" w:rsidR="00000000" w:rsidRPr="00000000">
        <w:rPr>
          <w:rtl w:val="0"/>
        </w:rPr>
      </w:r>
    </w:p>
    <w:sectPr>
      <w:headerReference r:id="rId31" w:type="default"/>
      <w:headerReference r:id="rId32" w:type="first"/>
      <w:footerReference r:id="rId33"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datacenter.aecf.org/data/tables/43-children-in-poverty#detailed/1/any/false/1096,2545,1095,2048,1729,37,871,870,573,869/any/321,322" TargetMode="External"/><Relationship Id="rId22" Type="http://schemas.openxmlformats.org/officeDocument/2006/relationships/hyperlink" Target="https://www.kidsmentalhealthfoundation.org/mental-health-resources/relationships/why-belonging-matters-for-underrepresented-children" TargetMode="External"/><Relationship Id="rId21" Type="http://schemas.openxmlformats.org/officeDocument/2006/relationships/hyperlink" Target="https://www.feedingamerica.org/hunger-in-america/child-hunger-facts" TargetMode="External"/><Relationship Id="rId24" Type="http://schemas.openxmlformats.org/officeDocument/2006/relationships/hyperlink" Target="https://www.fns.usda.gov/snap/supplemental-nutrition-assistance-program" TargetMode="External"/><Relationship Id="rId23" Type="http://schemas.openxmlformats.org/officeDocument/2006/relationships/hyperlink" Target="https://www.who.int/news-room/fact-sheets/detail/malnutri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observatory.wiki/" TargetMode="External"/><Relationship Id="rId26" Type="http://schemas.openxmlformats.org/officeDocument/2006/relationships/hyperlink" Target="https://observatory.wiki/%E2%80%98Sacrifice_Zones%E2%80%99:_How_People_of_Color_Are_Targets_of_Environmental_Racism" TargetMode="External"/><Relationship Id="rId25" Type="http://schemas.openxmlformats.org/officeDocument/2006/relationships/hyperlink" Target="https://www.fns.usda.gov/sbp/school-breakfast-program" TargetMode="External"/><Relationship Id="rId28" Type="http://schemas.openxmlformats.org/officeDocument/2006/relationships/hyperlink" Target="https://www.reuters.com/investigates/special-report/usa-pollution-school/" TargetMode="External"/><Relationship Id="rId27" Type="http://schemas.openxmlformats.org/officeDocument/2006/relationships/hyperlink" Target="https://projects.propublica.org/toxmap/" TargetMode="External"/><Relationship Id="rId5" Type="http://schemas.openxmlformats.org/officeDocument/2006/relationships/styles" Target="styles.xml"/><Relationship Id="rId6" Type="http://schemas.openxmlformats.org/officeDocument/2006/relationships/hyperlink" Target="https://www.harpercollins.com/products/a-call-to-character-colin-greer" TargetMode="External"/><Relationship Id="rId29" Type="http://schemas.openxmlformats.org/officeDocument/2006/relationships/hyperlink" Target="https://citylimits.org/lost-in-translation-audit-finds-language-barriers-at-city-health-facilities-during-restaurant-inspections/" TargetMode="External"/><Relationship Id="rId7" Type="http://schemas.openxmlformats.org/officeDocument/2006/relationships/hyperlink" Target="https://eric.ed.gov/?id=ED276777" TargetMode="External"/><Relationship Id="rId8" Type="http://schemas.openxmlformats.org/officeDocument/2006/relationships/hyperlink" Target="https://www.booksamillion.com/p/Religious-Differences-Between-Artichokes/Colin-Greer/9780983198475" TargetMode="External"/><Relationship Id="rId31" Type="http://schemas.openxmlformats.org/officeDocument/2006/relationships/header" Target="header1.xml"/><Relationship Id="rId30" Type="http://schemas.openxmlformats.org/officeDocument/2006/relationships/hyperlink" Target="https://www.healthaffairs.org/doi/10.1377/hlthaff.2018.05472" TargetMode="External"/><Relationship Id="rId11" Type="http://schemas.openxmlformats.org/officeDocument/2006/relationships/hyperlink" Target="https://independentmediainstitute.org/earth-food-life/" TargetMode="External"/><Relationship Id="rId33" Type="http://schemas.openxmlformats.org/officeDocument/2006/relationships/footer" Target="footer1.xml"/><Relationship Id="rId10" Type="http://schemas.openxmlformats.org/officeDocument/2006/relationships/hyperlink" Target="https://observatory.wiki/" TargetMode="External"/><Relationship Id="rId32" Type="http://schemas.openxmlformats.org/officeDocument/2006/relationships/header" Target="header2.xml"/><Relationship Id="rId13" Type="http://schemas.openxmlformats.org/officeDocument/2006/relationships/hyperlink" Target="https://observatory.wiki/Guide_to_Caring_for_Vulnerable_Youth" TargetMode="External"/><Relationship Id="rId12" Type="http://schemas.openxmlformats.org/officeDocument/2006/relationships/hyperlink" Target="https://independentmediainstitute.org/" TargetMode="External"/><Relationship Id="rId15" Type="http://schemas.openxmlformats.org/officeDocument/2006/relationships/hyperlink" Target="https://creativecommons.org/licenses/by-nc-sa/4.0/deed.en" TargetMode="External"/><Relationship Id="rId14" Type="http://schemas.openxmlformats.org/officeDocument/2006/relationships/hyperlink" Target="https://observatory.wiki/" TargetMode="External"/><Relationship Id="rId17" Type="http://schemas.openxmlformats.org/officeDocument/2006/relationships/hyperlink" Target="https://www.mayoclinic.org/healthy-lifestyle/stress-management/in-depth/stress/art-20046037" TargetMode="External"/><Relationship Id="rId16" Type="http://schemas.openxmlformats.org/officeDocument/2006/relationships/hyperlink" Target="https://www.propublica.org/article/inside-public-housing-where-cockroaches-drop-from-the-wall-and-kids-are-getting-sick" TargetMode="External"/><Relationship Id="rId19" Type="http://schemas.openxmlformats.org/officeDocument/2006/relationships/hyperlink" Target="https://observatory.wiki/Guide_to_Caring_for_Vulnerable_Youth" TargetMode="External"/><Relationship Id="rId18" Type="http://schemas.openxmlformats.org/officeDocument/2006/relationships/hyperlink" Target="https://acf.gov/trauma-toolkit/toxic-st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