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D3BF6"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Headline:</w:t>
      </w:r>
      <w:r>
        <w:rPr>
          <w:rFonts w:ascii="Times New Roman" w:eastAsia="Times New Roman" w:hAnsi="Times New Roman" w:cs="Times New Roman"/>
          <w:sz w:val="28"/>
          <w:szCs w:val="28"/>
          <w:highlight w:val="white"/>
        </w:rPr>
        <w:t xml:space="preserve"> How Wage Inflation Became the Fed’s Red Line</w:t>
      </w:r>
    </w:p>
    <w:p w14:paraId="00000002" w14:textId="77777777" w:rsidR="009D3BF6"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Teaser:</w:t>
      </w:r>
      <w:r>
        <w:rPr>
          <w:rFonts w:ascii="Times New Roman" w:eastAsia="Times New Roman" w:hAnsi="Times New Roman" w:cs="Times New Roman"/>
          <w:sz w:val="28"/>
          <w:szCs w:val="28"/>
          <w:highlight w:val="white"/>
        </w:rPr>
        <w:t xml:space="preserve"> For decades, the Federal Reserve has acted quickly when wages rise, while other sources of inflation have often received a slower response. Amid the latest inflation surge, it may be time to reconsider.</w:t>
      </w:r>
    </w:p>
    <w:p w14:paraId="00000003" w14:textId="77777777" w:rsidR="009D3BF6"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By John P. Ruehl</w:t>
      </w:r>
    </w:p>
    <w:p w14:paraId="00000004" w14:textId="77777777" w:rsidR="009D3BF6"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Author Bio:</w:t>
      </w:r>
      <w:r>
        <w:rPr>
          <w:rFonts w:ascii="Times New Roman" w:eastAsia="Times New Roman" w:hAnsi="Times New Roman" w:cs="Times New Roman"/>
          <w:sz w:val="28"/>
          <w:szCs w:val="28"/>
          <w:highlight w:val="white"/>
        </w:rPr>
        <w:t xml:space="preserve"> John P. Ruehl is an Australian-American journalist living in Washington, D.C., and a world affairs correspondent for the </w:t>
      </w:r>
      <w:hyperlink r:id="rId4">
        <w:r>
          <w:rPr>
            <w:rFonts w:ascii="Times New Roman" w:eastAsia="Times New Roman" w:hAnsi="Times New Roman" w:cs="Times New Roman"/>
            <w:color w:val="1155CC"/>
            <w:sz w:val="28"/>
            <w:szCs w:val="28"/>
            <w:highlight w:val="white"/>
            <w:u w:val="single"/>
          </w:rPr>
          <w:t>Independent Media Institute</w:t>
        </w:r>
      </w:hyperlink>
      <w:r>
        <w:rPr>
          <w:rFonts w:ascii="Times New Roman" w:eastAsia="Times New Roman" w:hAnsi="Times New Roman" w:cs="Times New Roman"/>
          <w:sz w:val="28"/>
          <w:szCs w:val="28"/>
          <w:highlight w:val="white"/>
        </w:rPr>
        <w:t xml:space="preserve">. He is a contributor to several foreign affairs publications, and his book, </w:t>
      </w:r>
      <w:hyperlink r:id="rId5">
        <w:r>
          <w:rPr>
            <w:rFonts w:ascii="Times New Roman" w:eastAsia="Times New Roman" w:hAnsi="Times New Roman" w:cs="Times New Roman"/>
            <w:i/>
            <w:iCs/>
            <w:color w:val="1155CC"/>
            <w:sz w:val="28"/>
            <w:szCs w:val="28"/>
            <w:highlight w:val="white"/>
            <w:u w:val="single"/>
          </w:rPr>
          <w:t>Budget Superpower: How Russia Challenges the West With an Economy Smaller Than Texas’</w:t>
        </w:r>
      </w:hyperlink>
      <w:r>
        <w:rPr>
          <w:rFonts w:ascii="Times New Roman" w:eastAsia="Times New Roman" w:hAnsi="Times New Roman" w:cs="Times New Roman"/>
          <w:sz w:val="28"/>
          <w:szCs w:val="28"/>
          <w:highlight w:val="white"/>
        </w:rPr>
        <w:t>, was published in December 2022.</w:t>
      </w:r>
    </w:p>
    <w:p w14:paraId="00000005" w14:textId="77777777" w:rsidR="009D3BF6"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Source:</w:t>
      </w:r>
      <w:r>
        <w:rPr>
          <w:rFonts w:ascii="Times New Roman" w:eastAsia="Times New Roman" w:hAnsi="Times New Roman" w:cs="Times New Roman"/>
          <w:sz w:val="28"/>
          <w:szCs w:val="28"/>
          <w:highlight w:val="white"/>
        </w:rPr>
        <w:t xml:space="preserve"> Independent Media Institute</w:t>
      </w:r>
    </w:p>
    <w:p w14:paraId="00000006" w14:textId="77777777" w:rsidR="009D3BF6" w:rsidRDefault="00000000">
      <w:pPr>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Credit Line:</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iCs/>
          <w:sz w:val="28"/>
          <w:szCs w:val="28"/>
          <w:highlight w:val="white"/>
        </w:rPr>
        <w:t xml:space="preserve">This article was produced by </w:t>
      </w:r>
      <w:hyperlink r:id="rId6">
        <w:r>
          <w:rPr>
            <w:rFonts w:ascii="Times New Roman" w:eastAsia="Times New Roman" w:hAnsi="Times New Roman" w:cs="Times New Roman"/>
            <w:i/>
            <w:iCs/>
            <w:color w:val="1155CC"/>
            <w:sz w:val="28"/>
            <w:szCs w:val="28"/>
            <w:highlight w:val="white"/>
            <w:u w:val="single"/>
          </w:rPr>
          <w:t>Economy for All</w:t>
        </w:r>
      </w:hyperlink>
      <w:r>
        <w:rPr>
          <w:rFonts w:ascii="Times New Roman" w:eastAsia="Times New Roman" w:hAnsi="Times New Roman" w:cs="Times New Roman"/>
          <w:i/>
          <w:iCs/>
          <w:sz w:val="28"/>
          <w:szCs w:val="28"/>
          <w:highlight w:val="white"/>
        </w:rPr>
        <w:t>, a project of the Independent Media Institute.</w:t>
      </w:r>
    </w:p>
    <w:p w14:paraId="00000007" w14:textId="77777777" w:rsidR="009D3BF6"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Tags:</w:t>
      </w:r>
      <w:r>
        <w:rPr>
          <w:rFonts w:ascii="Times New Roman" w:eastAsia="Times New Roman" w:hAnsi="Times New Roman" w:cs="Times New Roman"/>
          <w:sz w:val="28"/>
          <w:szCs w:val="28"/>
          <w:highlight w:val="white"/>
        </w:rPr>
        <w:t xml:space="preserve"> Economy, North America/United States of America, History, Labor, Asia/Japan, Asia/China, Opinion, Time-Sensitive</w:t>
      </w:r>
    </w:p>
    <w:p w14:paraId="00000008" w14:textId="77777777" w:rsidR="009D3BF6" w:rsidRDefault="009D3BF6">
      <w:pPr>
        <w:widowControl w:val="0"/>
        <w:spacing w:before="200" w:after="200"/>
        <w:rPr>
          <w:rFonts w:ascii="Times New Roman" w:eastAsia="Times New Roman" w:hAnsi="Times New Roman" w:cs="Times New Roman"/>
          <w:b/>
          <w:bCs/>
          <w:sz w:val="28"/>
          <w:szCs w:val="28"/>
          <w:highlight w:val="white"/>
        </w:rPr>
      </w:pPr>
    </w:p>
    <w:p w14:paraId="00000009" w14:textId="77777777" w:rsidR="009D3BF6" w:rsidRDefault="00000000">
      <w:pPr>
        <w:widowControl w:val="0"/>
        <w:spacing w:before="200" w:after="20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[Article Body:]</w:t>
      </w:r>
    </w:p>
    <w:p w14:paraId="0000000A" w14:textId="77777777" w:rsidR="009D3BF6"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2021-2023 inflation surge saw sudden and persistent increases in prices for consumer goods, housing, and assets. Wage inflation also rose, but </w:t>
      </w:r>
      <w:hyperlink r:id="rId7">
        <w:r>
          <w:rPr>
            <w:rFonts w:ascii="Times New Roman" w:eastAsia="Times New Roman" w:hAnsi="Times New Roman" w:cs="Times New Roman"/>
            <w:color w:val="1155CC"/>
            <w:sz w:val="28"/>
            <w:szCs w:val="28"/>
            <w:u w:val="single"/>
          </w:rPr>
          <w:t>it lagged behind other inflation measures</w:t>
        </w:r>
      </w:hyperlink>
      <w:r>
        <w:rPr>
          <w:rFonts w:ascii="Times New Roman" w:eastAsia="Times New Roman" w:hAnsi="Times New Roman" w:cs="Times New Roman"/>
          <w:sz w:val="28"/>
          <w:szCs w:val="28"/>
        </w:rPr>
        <w:t xml:space="preserve">. When wages finally accelerated, the Fed </w:t>
      </w:r>
      <w:hyperlink r:id="rId8">
        <w:r>
          <w:rPr>
            <w:rFonts w:ascii="Times New Roman" w:eastAsia="Times New Roman" w:hAnsi="Times New Roman" w:cs="Times New Roman"/>
            <w:color w:val="1155CC"/>
            <w:sz w:val="28"/>
            <w:szCs w:val="28"/>
            <w:u w:val="single"/>
          </w:rPr>
          <w:t>began hiking rates</w:t>
        </w:r>
      </w:hyperlink>
      <w:r>
        <w:rPr>
          <w:rFonts w:ascii="Times New Roman" w:eastAsia="Times New Roman" w:hAnsi="Times New Roman" w:cs="Times New Roman"/>
          <w:sz w:val="28"/>
          <w:szCs w:val="28"/>
        </w:rPr>
        <w:t xml:space="preserve"> to cool the economy, consistent with its longstanding view of wage inflation as a precursor to spiraling inflation and the need to suppress it.</w:t>
      </w:r>
    </w:p>
    <w:p w14:paraId="0000000B" w14:textId="77777777" w:rsidR="009D3BF6"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At first glance, the average weekly wage </w:t>
      </w:r>
      <w:hyperlink r:id="rId9">
        <w:r>
          <w:rPr>
            <w:rFonts w:ascii="Times New Roman" w:eastAsia="Times New Roman" w:hAnsi="Times New Roman" w:cs="Times New Roman"/>
            <w:color w:val="1155CC"/>
            <w:sz w:val="28"/>
            <w:szCs w:val="28"/>
            <w:u w:val="single"/>
          </w:rPr>
          <w:t>for the last two decades</w:t>
        </w:r>
      </w:hyperlink>
      <w:r>
        <w:rPr>
          <w:rFonts w:ascii="Times New Roman" w:eastAsia="Times New Roman" w:hAnsi="Times New Roman" w:cs="Times New Roman"/>
          <w:sz w:val="28"/>
          <w:szCs w:val="28"/>
        </w:rPr>
        <w:t xml:space="preserve"> appears strong, often outpacing general inflation. Data from the Center for American Progress indicate that workers, especially lower-income workers, </w:t>
      </w:r>
      <w:hyperlink r:id="rId10">
        <w:r>
          <w:rPr>
            <w:rFonts w:ascii="Times New Roman" w:eastAsia="Times New Roman" w:hAnsi="Times New Roman" w:cs="Times New Roman"/>
            <w:color w:val="1155CC"/>
            <w:sz w:val="28"/>
            <w:szCs w:val="28"/>
            <w:u w:val="single"/>
          </w:rPr>
          <w:t>have seen real gains</w:t>
        </w:r>
      </w:hyperlink>
      <w:r>
        <w:rPr>
          <w:rFonts w:ascii="Times New Roman" w:eastAsia="Times New Roman" w:hAnsi="Times New Roman" w:cs="Times New Roman"/>
          <w:sz w:val="28"/>
          <w:szCs w:val="28"/>
        </w:rPr>
        <w:t xml:space="preserve"> between the COVID-19 pandemic and late 2024.</w:t>
      </w:r>
    </w:p>
    <w:p w14:paraId="0000000C" w14:textId="77777777" w:rsidR="009D3BF6"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Yet these figures can be misleading. Recessions often skew the numbers because lower-paid workers are more likely to </w:t>
      </w:r>
      <w:proofErr w:type="gramStart"/>
      <w:r>
        <w:rPr>
          <w:rFonts w:ascii="Times New Roman" w:eastAsia="Times New Roman" w:hAnsi="Times New Roman" w:cs="Times New Roman"/>
          <w:sz w:val="28"/>
          <w:szCs w:val="28"/>
        </w:rPr>
        <w:t>be laid</w:t>
      </w:r>
      <w:proofErr w:type="gramEnd"/>
      <w:r>
        <w:rPr>
          <w:rFonts w:ascii="Times New Roman" w:eastAsia="Times New Roman" w:hAnsi="Times New Roman" w:cs="Times New Roman"/>
          <w:sz w:val="28"/>
          <w:szCs w:val="28"/>
        </w:rPr>
        <w:t xml:space="preserve"> off while higher earners remain, and </w:t>
      </w:r>
      <w:r>
        <w:rPr>
          <w:rFonts w:ascii="Times New Roman" w:eastAsia="Times New Roman" w:hAnsi="Times New Roman" w:cs="Times New Roman"/>
          <w:sz w:val="28"/>
          <w:szCs w:val="28"/>
        </w:rPr>
        <w:lastRenderedPageBreak/>
        <w:t xml:space="preserve">new hires during recoveries can temporarily boost averages through starting pay or signing bonuses. Meanwhile, common inflation metrics like the consumer price index for all urban consumers can </w:t>
      </w:r>
      <w:hyperlink r:id="rId11">
        <w:r>
          <w:rPr>
            <w:rFonts w:ascii="Times New Roman" w:eastAsia="Times New Roman" w:hAnsi="Times New Roman" w:cs="Times New Roman"/>
            <w:color w:val="1155CC"/>
            <w:sz w:val="28"/>
            <w:szCs w:val="28"/>
            <w:u w:val="single"/>
          </w:rPr>
          <w:t>often understate the cost of living</w:t>
        </w:r>
      </w:hyperlink>
      <w:r>
        <w:rPr>
          <w:rFonts w:ascii="Times New Roman" w:eastAsia="Times New Roman" w:hAnsi="Times New Roman" w:cs="Times New Roman"/>
          <w:sz w:val="28"/>
          <w:szCs w:val="28"/>
        </w:rPr>
        <w:t xml:space="preserve"> for lower-income households, and most wages remain </w:t>
      </w:r>
      <w:hyperlink r:id="rId12">
        <w:r>
          <w:rPr>
            <w:rFonts w:ascii="Times New Roman" w:eastAsia="Times New Roman" w:hAnsi="Times New Roman" w:cs="Times New Roman"/>
            <w:color w:val="1155CC"/>
            <w:sz w:val="28"/>
            <w:szCs w:val="28"/>
            <w:u w:val="single"/>
          </w:rPr>
          <w:t>below</w:t>
        </w:r>
      </w:hyperlink>
      <w:r>
        <w:rPr>
          <w:rFonts w:ascii="Times New Roman" w:eastAsia="Times New Roman" w:hAnsi="Times New Roman" w:cs="Times New Roman"/>
          <w:sz w:val="28"/>
          <w:szCs w:val="28"/>
        </w:rPr>
        <w:t xml:space="preserve"> pre-pandemic levels. In fact, real hourly wages for most workers have barely moved </w:t>
      </w:r>
      <w:hyperlink r:id="rId13">
        <w:r>
          <w:rPr>
            <w:rFonts w:ascii="Times New Roman" w:eastAsia="Times New Roman" w:hAnsi="Times New Roman" w:cs="Times New Roman"/>
            <w:color w:val="1155CC"/>
            <w:sz w:val="28"/>
            <w:szCs w:val="28"/>
            <w:u w:val="single"/>
          </w:rPr>
          <w:t>since the 1970s</w:t>
        </w:r>
      </w:hyperlink>
      <w:r>
        <w:rPr>
          <w:rFonts w:ascii="Times New Roman" w:eastAsia="Times New Roman" w:hAnsi="Times New Roman" w:cs="Times New Roman"/>
          <w:sz w:val="28"/>
          <w:szCs w:val="28"/>
        </w:rPr>
        <w:t xml:space="preserve"> and have typically been slow to recover once they fall behind.</w:t>
      </w:r>
    </w:p>
    <w:p w14:paraId="0000000D" w14:textId="77777777" w:rsidR="009D3BF6"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While the Fed has long viewed suppressing wage inflation </w:t>
      </w:r>
      <w:hyperlink r:id="rId14">
        <w:r>
          <w:rPr>
            <w:rFonts w:ascii="Times New Roman" w:eastAsia="Times New Roman" w:hAnsi="Times New Roman" w:cs="Times New Roman"/>
            <w:color w:val="1155CC"/>
            <w:sz w:val="28"/>
            <w:szCs w:val="28"/>
            <w:u w:val="single"/>
          </w:rPr>
          <w:t>as central</w:t>
        </w:r>
      </w:hyperlink>
      <w:r>
        <w:rPr>
          <w:rFonts w:ascii="Times New Roman" w:eastAsia="Times New Roman" w:hAnsi="Times New Roman" w:cs="Times New Roman"/>
          <w:sz w:val="28"/>
          <w:szCs w:val="28"/>
        </w:rPr>
        <w:t xml:space="preserve"> to stabilizing the economy and preventing runaway inflation, this was not always its primary mission. The Federal Reserve was founded in 1913 to prevent banking panics by providing liquidity to struggling banks, with its authority expanding dramatically </w:t>
      </w:r>
      <w:hyperlink r:id="rId15">
        <w:r>
          <w:rPr>
            <w:rFonts w:ascii="Times New Roman" w:eastAsia="Times New Roman" w:hAnsi="Times New Roman" w:cs="Times New Roman"/>
            <w:color w:val="1155CC"/>
            <w:sz w:val="28"/>
            <w:szCs w:val="28"/>
            <w:u w:val="single"/>
          </w:rPr>
          <w:t>during the Great Depression</w:t>
        </w:r>
      </w:hyperlink>
      <w:r>
        <w:rPr>
          <w:rFonts w:ascii="Times New Roman" w:eastAsia="Times New Roman" w:hAnsi="Times New Roman" w:cs="Times New Roman"/>
          <w:sz w:val="28"/>
          <w:szCs w:val="28"/>
        </w:rPr>
        <w:t xml:space="preserve"> as it took on a central role in monetary policy, bank supervision, and financial system oversight.</w:t>
      </w:r>
    </w:p>
    <w:p w14:paraId="0000000E" w14:textId="77777777" w:rsidR="009D3BF6"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hyperlink r:id="rId16">
        <w:r>
          <w:rPr>
            <w:rFonts w:ascii="Times New Roman" w:eastAsia="Times New Roman" w:hAnsi="Times New Roman" w:cs="Times New Roman"/>
            <w:color w:val="1155CC"/>
            <w:sz w:val="28"/>
            <w:szCs w:val="28"/>
            <w:u w:val="single"/>
          </w:rPr>
          <w:t>1951 Treasury-Federal Reserve Accord</w:t>
        </w:r>
      </w:hyperlink>
      <w:r>
        <w:rPr>
          <w:rFonts w:ascii="Times New Roman" w:eastAsia="Times New Roman" w:hAnsi="Times New Roman" w:cs="Times New Roman"/>
          <w:sz w:val="28"/>
          <w:szCs w:val="28"/>
        </w:rPr>
        <w:t xml:space="preserve"> restored the Fed’s independence to set interest rates after the government assumed control during World War II, allowing it to experiment with new monetary approaches. </w:t>
      </w:r>
      <w:hyperlink r:id="rId17">
        <w:r>
          <w:rPr>
            <w:rFonts w:ascii="Times New Roman" w:eastAsia="Times New Roman" w:hAnsi="Times New Roman" w:cs="Times New Roman"/>
            <w:color w:val="1155CC"/>
            <w:sz w:val="28"/>
            <w:szCs w:val="28"/>
            <w:u w:val="single"/>
          </w:rPr>
          <w:t>By 1958</w:t>
        </w:r>
      </w:hyperlink>
      <w:r>
        <w:rPr>
          <w:rFonts w:ascii="Times New Roman" w:eastAsia="Times New Roman" w:hAnsi="Times New Roman" w:cs="Times New Roman"/>
          <w:sz w:val="28"/>
          <w:szCs w:val="28"/>
        </w:rPr>
        <w:t>, the Phillips Curve began to be employed, suggesting a trade-off between unemployment and inflation. Economists believed that keeping interest rates low would encourage businesses to hire more workers, raising wages, which in turn would boost spending.</w:t>
      </w:r>
    </w:p>
    <w:p w14:paraId="0000000F" w14:textId="77777777" w:rsidR="009D3BF6"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approach worked until the 1970s. Thereafter, high government spending, the decline of U.S. manufacturing, and repeated oil shocks </w:t>
      </w:r>
      <w:hyperlink r:id="rId18">
        <w:r>
          <w:rPr>
            <w:rFonts w:ascii="Times New Roman" w:eastAsia="Times New Roman" w:hAnsi="Times New Roman" w:cs="Times New Roman"/>
            <w:color w:val="1155CC"/>
            <w:sz w:val="28"/>
            <w:szCs w:val="28"/>
            <w:u w:val="single"/>
          </w:rPr>
          <w:t>triggered stagflation</w:t>
        </w:r>
      </w:hyperlink>
      <w:r>
        <w:rPr>
          <w:rFonts w:ascii="Times New Roman" w:eastAsia="Times New Roman" w:hAnsi="Times New Roman" w:cs="Times New Roman"/>
          <w:sz w:val="28"/>
          <w:szCs w:val="28"/>
        </w:rPr>
        <w:t>. High inflation and unemployment, combined with slow economic growth, showed that traditional interest rate policies could not control inflation and support growth.</w:t>
      </w:r>
    </w:p>
    <w:p w14:paraId="00000010" w14:textId="77777777" w:rsidR="009D3BF6"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After Congress formally adopted the Fed’s dual mandate of supporting maximum employment and price stability </w:t>
      </w:r>
      <w:hyperlink r:id="rId19">
        <w:r>
          <w:rPr>
            <w:rFonts w:ascii="Times New Roman" w:eastAsia="Times New Roman" w:hAnsi="Times New Roman" w:cs="Times New Roman"/>
            <w:color w:val="1155CC"/>
            <w:sz w:val="28"/>
            <w:szCs w:val="28"/>
            <w:u w:val="single"/>
          </w:rPr>
          <w:t>in 1977</w:t>
        </w:r>
      </w:hyperlink>
      <w:r>
        <w:rPr>
          <w:rFonts w:ascii="Times New Roman" w:eastAsia="Times New Roman" w:hAnsi="Times New Roman" w:cs="Times New Roman"/>
          <w:sz w:val="28"/>
          <w:szCs w:val="28"/>
        </w:rPr>
        <w:t xml:space="preserve">, the central bank asserted its independence by treating price stability as the priority. When Paul Volcker became </w:t>
      </w:r>
      <w:proofErr w:type="gramStart"/>
      <w:r>
        <w:rPr>
          <w:rFonts w:ascii="Times New Roman" w:eastAsia="Times New Roman" w:hAnsi="Times New Roman" w:cs="Times New Roman"/>
          <w:sz w:val="28"/>
          <w:szCs w:val="28"/>
        </w:rPr>
        <w:t>chairman</w:t>
      </w:r>
      <w:proofErr w:type="gramEnd"/>
      <w:r>
        <w:rPr>
          <w:rFonts w:ascii="Times New Roman" w:eastAsia="Times New Roman" w:hAnsi="Times New Roman" w:cs="Times New Roman"/>
          <w:sz w:val="28"/>
          <w:szCs w:val="28"/>
        </w:rPr>
        <w:t xml:space="preserve"> in 1979, the Fed elevated inflation control above all other objectives. </w:t>
      </w:r>
      <w:hyperlink r:id="rId20">
        <w:r>
          <w:rPr>
            <w:rFonts w:ascii="Times New Roman" w:eastAsia="Times New Roman" w:hAnsi="Times New Roman" w:cs="Times New Roman"/>
            <w:color w:val="1155CC"/>
            <w:sz w:val="28"/>
            <w:szCs w:val="28"/>
            <w:u w:val="single"/>
          </w:rPr>
          <w:t>Volcker</w:t>
        </w:r>
      </w:hyperlink>
      <w:r>
        <w:rPr>
          <w:rFonts w:ascii="Times New Roman" w:eastAsia="Times New Roman" w:hAnsi="Times New Roman" w:cs="Times New Roman"/>
          <w:sz w:val="28"/>
          <w:szCs w:val="28"/>
        </w:rPr>
        <w:t xml:space="preserve"> and other policymakers viewed rapid wage growth, especially when driven by expectations of future inflation, as a sign that inflation psychology had taken hold. They argued that if workers expected inflation, they would push for higher wages, and businesses would respond by raising prices to cover their costs, setting off a wage-price spiral.</w:t>
      </w:r>
    </w:p>
    <w:p w14:paraId="00000011" w14:textId="77777777" w:rsidR="009D3BF6"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The Fed responded with </w:t>
      </w:r>
      <w:hyperlink r:id="rId21">
        <w:r>
          <w:rPr>
            <w:rFonts w:ascii="Times New Roman" w:eastAsia="Times New Roman" w:hAnsi="Times New Roman" w:cs="Times New Roman"/>
            <w:color w:val="1155CC"/>
            <w:sz w:val="28"/>
            <w:szCs w:val="28"/>
            <w:u w:val="single"/>
          </w:rPr>
          <w:t>aggressive rate hikes</w:t>
        </w:r>
      </w:hyperlink>
      <w:r>
        <w:rPr>
          <w:rFonts w:ascii="Times New Roman" w:eastAsia="Times New Roman" w:hAnsi="Times New Roman" w:cs="Times New Roman"/>
          <w:sz w:val="28"/>
          <w:szCs w:val="28"/>
        </w:rPr>
        <w:t xml:space="preserve"> to slow hiring and reduce workers’ bargaining power, aiming to keep unemployment low enough to sustain economic activity, but high enough to prevent rapid wage growth.</w:t>
      </w:r>
    </w:p>
    <w:p w14:paraId="00000012" w14:textId="77777777" w:rsidR="009D3BF6" w:rsidRDefault="00000000">
      <w:pPr>
        <w:spacing w:before="200" w:after="20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Judging Success and Other Options</w:t>
      </w:r>
    </w:p>
    <w:p w14:paraId="00000013" w14:textId="77777777" w:rsidR="009D3BF6"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Fed’s strategy became orthodox, but its success has </w:t>
      </w:r>
      <w:proofErr w:type="gramStart"/>
      <w:r>
        <w:rPr>
          <w:rFonts w:ascii="Times New Roman" w:eastAsia="Times New Roman" w:hAnsi="Times New Roman" w:cs="Times New Roman"/>
          <w:sz w:val="28"/>
          <w:szCs w:val="28"/>
        </w:rPr>
        <w:t>been mixed</w:t>
      </w:r>
      <w:proofErr w:type="gramEnd"/>
      <w:r>
        <w:rPr>
          <w:rFonts w:ascii="Times New Roman" w:eastAsia="Times New Roman" w:hAnsi="Times New Roman" w:cs="Times New Roman"/>
          <w:sz w:val="28"/>
          <w:szCs w:val="28"/>
        </w:rPr>
        <w:t xml:space="preserve">. It certainly helped tame inflation and return the economy to growth, but </w:t>
      </w:r>
      <w:hyperlink r:id="rId22">
        <w:r>
          <w:rPr>
            <w:rFonts w:ascii="Times New Roman" w:eastAsia="Times New Roman" w:hAnsi="Times New Roman" w:cs="Times New Roman"/>
            <w:color w:val="1155CC"/>
            <w:sz w:val="28"/>
            <w:szCs w:val="28"/>
            <w:u w:val="single"/>
          </w:rPr>
          <w:t>real wages have stagnated</w:t>
        </w:r>
      </w:hyperlink>
      <w:r>
        <w:rPr>
          <w:rFonts w:ascii="Times New Roman" w:eastAsia="Times New Roman" w:hAnsi="Times New Roman" w:cs="Times New Roman"/>
          <w:sz w:val="28"/>
          <w:szCs w:val="28"/>
        </w:rPr>
        <w:t xml:space="preserve"> for most workers since. Meanwhile, the financial sector expanded dramatically, benefiting from higher margins, speculation, and rising asset prices as the Fed focused on wage inflation instead.</w:t>
      </w:r>
    </w:p>
    <w:p w14:paraId="00000014" w14:textId="77777777" w:rsidR="009D3BF6"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By the mid-to-late 1990s, however, the Fed demonstrated that wage growth and price stability could coexist. Fed Chairman Alan Greenspan </w:t>
      </w:r>
      <w:hyperlink r:id="rId23">
        <w:r>
          <w:rPr>
            <w:rFonts w:ascii="Times New Roman" w:eastAsia="Times New Roman" w:hAnsi="Times New Roman" w:cs="Times New Roman"/>
            <w:color w:val="1155CC"/>
            <w:sz w:val="28"/>
            <w:szCs w:val="28"/>
            <w:u w:val="single"/>
          </w:rPr>
          <w:t>allowed the economy</w:t>
        </w:r>
      </w:hyperlink>
      <w:r>
        <w:rPr>
          <w:rFonts w:ascii="Times New Roman" w:eastAsia="Times New Roman" w:hAnsi="Times New Roman" w:cs="Times New Roman"/>
          <w:sz w:val="28"/>
          <w:szCs w:val="28"/>
        </w:rPr>
        <w:t xml:space="preserve"> to run hotter than some economists recommended, betting that productivity gains from technology would keep inflation in check. Unemployment fell to historic lows, and </w:t>
      </w:r>
      <w:hyperlink r:id="rId24">
        <w:r>
          <w:rPr>
            <w:rFonts w:ascii="Times New Roman" w:eastAsia="Times New Roman" w:hAnsi="Times New Roman" w:cs="Times New Roman"/>
            <w:color w:val="1155CC"/>
            <w:sz w:val="28"/>
            <w:szCs w:val="28"/>
            <w:u w:val="single"/>
          </w:rPr>
          <w:t>lower-income workers</w:t>
        </w:r>
      </w:hyperlink>
      <w:r>
        <w:rPr>
          <w:rFonts w:ascii="Times New Roman" w:eastAsia="Times New Roman" w:hAnsi="Times New Roman" w:cs="Times New Roman"/>
          <w:sz w:val="28"/>
          <w:szCs w:val="28"/>
        </w:rPr>
        <w:t xml:space="preserve"> in particular saw modest wage gains. In the 2000s and 2010s, </w:t>
      </w:r>
      <w:hyperlink r:id="rId25">
        <w:r>
          <w:rPr>
            <w:rFonts w:ascii="Times New Roman" w:eastAsia="Times New Roman" w:hAnsi="Times New Roman" w:cs="Times New Roman"/>
            <w:color w:val="1155CC"/>
            <w:sz w:val="28"/>
            <w:szCs w:val="28"/>
            <w:u w:val="single"/>
          </w:rPr>
          <w:t>inflation remained moderate</w:t>
        </w:r>
      </w:hyperlink>
      <w:r>
        <w:rPr>
          <w:rFonts w:ascii="Times New Roman" w:eastAsia="Times New Roman" w:hAnsi="Times New Roman" w:cs="Times New Roman"/>
          <w:sz w:val="28"/>
          <w:szCs w:val="28"/>
        </w:rPr>
        <w:t xml:space="preserve">, and wages remained </w:t>
      </w:r>
      <w:hyperlink r:id="rId26">
        <w:r>
          <w:rPr>
            <w:rFonts w:ascii="Times New Roman" w:eastAsia="Times New Roman" w:hAnsi="Times New Roman" w:cs="Times New Roman"/>
            <w:color w:val="1155CC"/>
            <w:sz w:val="28"/>
            <w:szCs w:val="28"/>
            <w:u w:val="single"/>
          </w:rPr>
          <w:t>largely stagnant</w:t>
        </w:r>
      </w:hyperlink>
      <w:r>
        <w:rPr>
          <w:rFonts w:ascii="Times New Roman" w:eastAsia="Times New Roman" w:hAnsi="Times New Roman" w:cs="Times New Roman"/>
          <w:sz w:val="28"/>
          <w:szCs w:val="28"/>
        </w:rPr>
        <w:t>.</w:t>
      </w:r>
    </w:p>
    <w:p w14:paraId="00000015" w14:textId="77777777" w:rsidR="009D3BF6"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After nearly three decades of low inflation, the inflation surge of the early 2020s </w:t>
      </w:r>
      <w:hyperlink r:id="rId27">
        <w:r>
          <w:rPr>
            <w:rFonts w:ascii="Times New Roman" w:eastAsia="Times New Roman" w:hAnsi="Times New Roman" w:cs="Times New Roman"/>
            <w:color w:val="1155CC"/>
            <w:sz w:val="28"/>
            <w:szCs w:val="28"/>
            <w:u w:val="single"/>
          </w:rPr>
          <w:t>was driven</w:t>
        </w:r>
      </w:hyperlink>
      <w:r>
        <w:rPr>
          <w:rFonts w:ascii="Times New Roman" w:eastAsia="Times New Roman" w:hAnsi="Times New Roman" w:cs="Times New Roman"/>
          <w:sz w:val="28"/>
          <w:szCs w:val="28"/>
        </w:rPr>
        <w:t xml:space="preserve"> largely by corporate markups, supply chain shocks, and energy prices, and not wage growth. From the early 1990s through the 2010s, wages were also not a significant source of the limited inflation. Instead, asset bubbles (most notably the 2000s housing bubble), along with </w:t>
      </w:r>
      <w:hyperlink r:id="rId28">
        <w:r>
          <w:rPr>
            <w:rFonts w:ascii="Times New Roman" w:eastAsia="Times New Roman" w:hAnsi="Times New Roman" w:cs="Times New Roman"/>
            <w:color w:val="1155CC"/>
            <w:sz w:val="28"/>
            <w:szCs w:val="28"/>
            <w:u w:val="single"/>
          </w:rPr>
          <w:t>food and energy price shocks</w:t>
        </w:r>
      </w:hyperlink>
      <w:r>
        <w:rPr>
          <w:rFonts w:ascii="Times New Roman" w:eastAsia="Times New Roman" w:hAnsi="Times New Roman" w:cs="Times New Roman"/>
          <w:sz w:val="28"/>
          <w:szCs w:val="28"/>
        </w:rPr>
        <w:t>, were responsible for price increases.</w:t>
      </w:r>
    </w:p>
    <w:p w14:paraId="00000016" w14:textId="77777777" w:rsidR="009D3BF6"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While economic bubbles </w:t>
      </w:r>
      <w:hyperlink r:id="rId29">
        <w:r>
          <w:rPr>
            <w:rFonts w:ascii="Times New Roman" w:eastAsia="Times New Roman" w:hAnsi="Times New Roman" w:cs="Times New Roman"/>
            <w:color w:val="1155CC"/>
            <w:sz w:val="28"/>
            <w:szCs w:val="28"/>
            <w:u w:val="single"/>
          </w:rPr>
          <w:t>typically enrich the wealthy</w:t>
        </w:r>
      </w:hyperlink>
      <w:r>
        <w:rPr>
          <w:rFonts w:ascii="Times New Roman" w:eastAsia="Times New Roman" w:hAnsi="Times New Roman" w:cs="Times New Roman"/>
          <w:sz w:val="28"/>
          <w:szCs w:val="28"/>
        </w:rPr>
        <w:t>, long periods of low inflation also benefit them under the current system. Higher interest rates lift returns on safe assets such as Treasury bonds, which supports financial institutions and investors, and low inflation reduces pressure on large firms to raise wages. The Fed’s emphasis on keeping prices steady helps maintain financial stability, supports government borrowing, and reinforces confidence in the dollar. Wage growth often struggles to keep pace with rising wealth at the top, but the overall arrangement remains acceptable to the Fed.</w:t>
      </w:r>
    </w:p>
    <w:p w14:paraId="00000017" w14:textId="77777777" w:rsidR="009D3BF6"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Other countries have taken different approaches to managing inflation and wages. The Bank of Japan, for example, has </w:t>
      </w:r>
      <w:hyperlink r:id="rId30">
        <w:r>
          <w:rPr>
            <w:rFonts w:ascii="Times New Roman" w:eastAsia="Times New Roman" w:hAnsi="Times New Roman" w:cs="Times New Roman"/>
            <w:color w:val="1155CC"/>
            <w:sz w:val="28"/>
            <w:szCs w:val="28"/>
            <w:u w:val="single"/>
          </w:rPr>
          <w:t>actively tried to boost wages</w:t>
        </w:r>
      </w:hyperlink>
      <w:r>
        <w:rPr>
          <w:rFonts w:ascii="Times New Roman" w:eastAsia="Times New Roman" w:hAnsi="Times New Roman" w:cs="Times New Roman"/>
          <w:sz w:val="28"/>
          <w:szCs w:val="28"/>
        </w:rPr>
        <w:t xml:space="preserve"> since the 2010s </w:t>
      </w:r>
      <w:r>
        <w:rPr>
          <w:rFonts w:ascii="Times New Roman" w:eastAsia="Times New Roman" w:hAnsi="Times New Roman" w:cs="Times New Roman"/>
          <w:sz w:val="28"/>
          <w:szCs w:val="28"/>
        </w:rPr>
        <w:lastRenderedPageBreak/>
        <w:t xml:space="preserve">to counter decades of stagnant incomes and low inflation, aiming to stimulate domestic spending and growth. </w:t>
      </w:r>
      <w:hyperlink r:id="rId31">
        <w:r>
          <w:rPr>
            <w:rFonts w:ascii="Times New Roman" w:eastAsia="Times New Roman" w:hAnsi="Times New Roman" w:cs="Times New Roman"/>
            <w:color w:val="1155CC"/>
            <w:sz w:val="28"/>
            <w:szCs w:val="28"/>
            <w:u w:val="single"/>
          </w:rPr>
          <w:t>China</w:t>
        </w:r>
      </w:hyperlink>
      <w:r>
        <w:rPr>
          <w:rFonts w:ascii="Times New Roman" w:eastAsia="Times New Roman" w:hAnsi="Times New Roman" w:cs="Times New Roman"/>
          <w:sz w:val="28"/>
          <w:szCs w:val="28"/>
        </w:rPr>
        <w:t xml:space="preserve"> has focused on containing asset price bubbles to limit wealth concentration, while also </w:t>
      </w:r>
      <w:hyperlink r:id="rId32">
        <w:r>
          <w:rPr>
            <w:rFonts w:ascii="Times New Roman" w:eastAsia="Times New Roman" w:hAnsi="Times New Roman" w:cs="Times New Roman"/>
            <w:color w:val="1155CC"/>
            <w:sz w:val="28"/>
            <w:szCs w:val="28"/>
            <w:u w:val="single"/>
          </w:rPr>
          <w:t>promoting wage increases</w:t>
        </w:r>
      </w:hyperlink>
      <w:r>
        <w:rPr>
          <w:rFonts w:ascii="Times New Roman" w:eastAsia="Times New Roman" w:hAnsi="Times New Roman" w:cs="Times New Roman"/>
          <w:sz w:val="28"/>
          <w:szCs w:val="28"/>
        </w:rPr>
        <w:t xml:space="preserve"> to support consumption.</w:t>
      </w:r>
    </w:p>
    <w:p w14:paraId="00000018" w14:textId="77777777" w:rsidR="009D3BF6" w:rsidRDefault="00000000">
      <w:pPr>
        <w:spacing w:before="200" w:after="20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Some</w:t>
      </w:r>
      <w:proofErr w:type="gramEnd"/>
      <w:r>
        <w:rPr>
          <w:rFonts w:ascii="Times New Roman" w:eastAsia="Times New Roman" w:hAnsi="Times New Roman" w:cs="Times New Roman"/>
          <w:sz w:val="28"/>
          <w:szCs w:val="28"/>
        </w:rPr>
        <w:t xml:space="preserve"> financial experts suggest that the U.S. could adopt similar or alternative strategies. Economists Scott Sumner and </w:t>
      </w:r>
      <w:hyperlink r:id="rId33">
        <w:r>
          <w:rPr>
            <w:rFonts w:ascii="Times New Roman" w:eastAsia="Times New Roman" w:hAnsi="Times New Roman" w:cs="Times New Roman"/>
            <w:color w:val="1155CC"/>
            <w:sz w:val="28"/>
            <w:szCs w:val="28"/>
            <w:u w:val="single"/>
          </w:rPr>
          <w:t>Christina Romer</w:t>
        </w:r>
      </w:hyperlink>
      <w:r>
        <w:rPr>
          <w:rFonts w:ascii="Times New Roman" w:eastAsia="Times New Roman" w:hAnsi="Times New Roman" w:cs="Times New Roman"/>
          <w:sz w:val="28"/>
          <w:szCs w:val="28"/>
        </w:rPr>
        <w:t xml:space="preserve"> </w:t>
      </w:r>
      <w:hyperlink r:id="rId34">
        <w:r>
          <w:rPr>
            <w:rFonts w:ascii="Times New Roman" w:eastAsia="Times New Roman" w:hAnsi="Times New Roman" w:cs="Times New Roman"/>
            <w:color w:val="1155CC"/>
            <w:sz w:val="28"/>
            <w:szCs w:val="28"/>
            <w:u w:val="single"/>
          </w:rPr>
          <w:t>have endorsed</w:t>
        </w:r>
      </w:hyperlink>
      <w:r>
        <w:rPr>
          <w:rFonts w:ascii="Times New Roman" w:eastAsia="Times New Roman" w:hAnsi="Times New Roman" w:cs="Times New Roman"/>
          <w:sz w:val="28"/>
          <w:szCs w:val="28"/>
        </w:rPr>
        <w:t xml:space="preserve"> nominal GDP targeting, which would have the Fed focus on keeping the total dollars spent in the economy on a steady path. Unlike today’s approach, which reacts </w:t>
      </w:r>
      <w:proofErr w:type="gramStart"/>
      <w:r>
        <w:rPr>
          <w:rFonts w:ascii="Times New Roman" w:eastAsia="Times New Roman" w:hAnsi="Times New Roman" w:cs="Times New Roman"/>
          <w:sz w:val="28"/>
          <w:szCs w:val="28"/>
        </w:rPr>
        <w:t>mainly to</w:t>
      </w:r>
      <w:proofErr w:type="gramEnd"/>
      <w:r>
        <w:rPr>
          <w:rFonts w:ascii="Times New Roman" w:eastAsia="Times New Roman" w:hAnsi="Times New Roman" w:cs="Times New Roman"/>
          <w:sz w:val="28"/>
          <w:szCs w:val="28"/>
        </w:rPr>
        <w:t xml:space="preserve"> price changes or unemployment, this could help prevent sudden economic slowdowns and keep wages and jobs more stable.</w:t>
      </w:r>
    </w:p>
    <w:p w14:paraId="00000019" w14:textId="77777777" w:rsidR="009D3BF6"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Isabella M. Weber and Merle Schulken, along with their coauthors, </w:t>
      </w:r>
      <w:hyperlink r:id="rId35">
        <w:r>
          <w:rPr>
            <w:rFonts w:ascii="Times New Roman" w:eastAsia="Times New Roman" w:hAnsi="Times New Roman" w:cs="Times New Roman"/>
            <w:color w:val="1155CC"/>
            <w:sz w:val="28"/>
            <w:szCs w:val="28"/>
            <w:u w:val="single"/>
          </w:rPr>
          <w:t>highlight</w:t>
        </w:r>
      </w:hyperlink>
      <w:r>
        <w:rPr>
          <w:rFonts w:ascii="Times New Roman" w:eastAsia="Times New Roman" w:hAnsi="Times New Roman" w:cs="Times New Roman"/>
          <w:sz w:val="28"/>
          <w:szCs w:val="28"/>
        </w:rPr>
        <w:t xml:space="preserve"> “seller’s inflation” in their policy paper, where a few dominant companies push up prices in certain industries. They suggest targeted price controls in </w:t>
      </w:r>
      <w:proofErr w:type="gramStart"/>
      <w:r>
        <w:rPr>
          <w:rFonts w:ascii="Times New Roman" w:eastAsia="Times New Roman" w:hAnsi="Times New Roman" w:cs="Times New Roman"/>
          <w:sz w:val="28"/>
          <w:szCs w:val="28"/>
        </w:rPr>
        <w:t>some</w:t>
      </w:r>
      <w:proofErr w:type="gramEnd"/>
      <w:r>
        <w:rPr>
          <w:rFonts w:ascii="Times New Roman" w:eastAsia="Times New Roman" w:hAnsi="Times New Roman" w:cs="Times New Roman"/>
          <w:sz w:val="28"/>
          <w:szCs w:val="28"/>
        </w:rPr>
        <w:t xml:space="preserve"> markets to prevent excessive increases. Economists </w:t>
      </w:r>
      <w:hyperlink r:id="rId36">
        <w:r>
          <w:rPr>
            <w:rFonts w:ascii="Times New Roman" w:eastAsia="Times New Roman" w:hAnsi="Times New Roman" w:cs="Times New Roman"/>
            <w:color w:val="1155CC"/>
            <w:sz w:val="28"/>
            <w:szCs w:val="28"/>
            <w:u w:val="single"/>
          </w:rPr>
          <w:t>Bill Mitchell</w:t>
        </w:r>
      </w:hyperlink>
      <w:r>
        <w:rPr>
          <w:rFonts w:ascii="Times New Roman" w:eastAsia="Times New Roman" w:hAnsi="Times New Roman" w:cs="Times New Roman"/>
          <w:sz w:val="28"/>
          <w:szCs w:val="28"/>
        </w:rPr>
        <w:t xml:space="preserve"> and </w:t>
      </w:r>
      <w:hyperlink r:id="rId37">
        <w:r>
          <w:rPr>
            <w:rFonts w:ascii="Times New Roman" w:eastAsia="Times New Roman" w:hAnsi="Times New Roman" w:cs="Times New Roman"/>
            <w:color w:val="1155CC"/>
            <w:sz w:val="28"/>
            <w:szCs w:val="28"/>
            <w:u w:val="single"/>
          </w:rPr>
          <w:t>Warren Mosler</w:t>
        </w:r>
      </w:hyperlink>
      <w:r>
        <w:rPr>
          <w:rFonts w:ascii="Times New Roman" w:eastAsia="Times New Roman" w:hAnsi="Times New Roman" w:cs="Times New Roman"/>
          <w:sz w:val="28"/>
          <w:szCs w:val="28"/>
        </w:rPr>
        <w:t xml:space="preserve"> propose a job guarantee concept called Non-Accelerating Inflationary Buffer Employment Ratio (NAIBER), where the government hires anyone willing to work at a fixed wage. This policy is meant to keep prices stable while ensuring full employment.</w:t>
      </w:r>
    </w:p>
    <w:p w14:paraId="0000001A" w14:textId="77777777" w:rsidR="009D3BF6"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Other reforms, including widening inflation measures to </w:t>
      </w:r>
      <w:proofErr w:type="gramStart"/>
      <w:r>
        <w:rPr>
          <w:rFonts w:ascii="Times New Roman" w:eastAsia="Times New Roman" w:hAnsi="Times New Roman" w:cs="Times New Roman"/>
          <w:sz w:val="28"/>
          <w:szCs w:val="28"/>
        </w:rPr>
        <w:t>more effectively cover corporate profits, rents, and asset prices</w:t>
      </w:r>
      <w:proofErr w:type="gramEnd"/>
      <w:r>
        <w:rPr>
          <w:rFonts w:ascii="Times New Roman" w:eastAsia="Times New Roman" w:hAnsi="Times New Roman" w:cs="Times New Roman"/>
          <w:sz w:val="28"/>
          <w:szCs w:val="28"/>
        </w:rPr>
        <w:t xml:space="preserve">, and help prevent unchecked wealth accumulation at the top. Policymakers could also focus more on wage growth that keeps up with productivity rather than just tracking nominal pay, particularly as productivity </w:t>
      </w:r>
      <w:hyperlink r:id="rId38">
        <w:r>
          <w:rPr>
            <w:rFonts w:ascii="Times New Roman" w:eastAsia="Times New Roman" w:hAnsi="Times New Roman" w:cs="Times New Roman"/>
            <w:color w:val="1155CC"/>
            <w:sz w:val="28"/>
            <w:szCs w:val="28"/>
            <w:u w:val="single"/>
          </w:rPr>
          <w:t>has been surging since 2023</w:t>
        </w:r>
      </w:hyperlink>
      <w:r>
        <w:rPr>
          <w:rFonts w:ascii="Times New Roman" w:eastAsia="Times New Roman" w:hAnsi="Times New Roman" w:cs="Times New Roman"/>
          <w:sz w:val="28"/>
          <w:szCs w:val="28"/>
        </w:rPr>
        <w:t>.</w:t>
      </w:r>
    </w:p>
    <w:p w14:paraId="0000001B" w14:textId="77777777" w:rsidR="009D3BF6"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Sustainable, widespread wage growth will be difficult. The U.S. no longer benefits from the massive economic expansion and strong labor bargaining power that lifted wages for most workers in the decades after World War II. In the modern financial and technology-driven economy, high-skill workers see significant wage gains, lower-income workers </w:t>
      </w:r>
      <w:hyperlink r:id="rId39">
        <w:r>
          <w:rPr>
            <w:rFonts w:ascii="Times New Roman" w:eastAsia="Times New Roman" w:hAnsi="Times New Roman" w:cs="Times New Roman"/>
            <w:color w:val="1155CC"/>
            <w:sz w:val="28"/>
            <w:szCs w:val="28"/>
            <w:u w:val="single"/>
          </w:rPr>
          <w:t>occasionally experience</w:t>
        </w:r>
      </w:hyperlink>
      <w:r>
        <w:rPr>
          <w:rFonts w:ascii="Times New Roman" w:eastAsia="Times New Roman" w:hAnsi="Times New Roman" w:cs="Times New Roman"/>
          <w:sz w:val="28"/>
          <w:szCs w:val="28"/>
        </w:rPr>
        <w:t xml:space="preserve"> short-term boosts, but the middle class often struggles to keep up.</w:t>
      </w:r>
    </w:p>
    <w:p w14:paraId="0000001C" w14:textId="77777777" w:rsidR="009D3BF6"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Fed’s focus on controlling inflation has contributed to this imbalance, allowing wealthier households to gain faster, while rising asset values widen inequality. But slowing wage growth to fight inflation has gone on too long, and the 2020s inflation surge showed it </w:t>
      </w:r>
      <w:proofErr w:type="gramStart"/>
      <w:r>
        <w:rPr>
          <w:rFonts w:ascii="Times New Roman" w:eastAsia="Times New Roman" w:hAnsi="Times New Roman" w:cs="Times New Roman"/>
          <w:sz w:val="28"/>
          <w:szCs w:val="28"/>
        </w:rPr>
        <w:t>wasn’t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responsible for</w:t>
      </w:r>
      <w:proofErr w:type="gramEnd"/>
      <w:r>
        <w:rPr>
          <w:rFonts w:ascii="Times New Roman" w:eastAsia="Times New Roman" w:hAnsi="Times New Roman" w:cs="Times New Roman"/>
          <w:sz w:val="28"/>
          <w:szCs w:val="28"/>
        </w:rPr>
        <w:t xml:space="preserve"> increasing prices. </w:t>
      </w:r>
      <w:r>
        <w:rPr>
          <w:rFonts w:ascii="Times New Roman" w:eastAsia="Times New Roman" w:hAnsi="Times New Roman" w:cs="Times New Roman"/>
          <w:sz w:val="28"/>
          <w:szCs w:val="28"/>
        </w:rPr>
        <w:lastRenderedPageBreak/>
        <w:t xml:space="preserve">Reassessing the Fed’s priorities could help ensure that rising wages for typical workers </w:t>
      </w:r>
      <w:proofErr w:type="gramStart"/>
      <w:r>
        <w:rPr>
          <w:rFonts w:ascii="Times New Roman" w:eastAsia="Times New Roman" w:hAnsi="Times New Roman" w:cs="Times New Roman"/>
          <w:sz w:val="28"/>
          <w:szCs w:val="28"/>
        </w:rPr>
        <w:t>are no longer treated</w:t>
      </w:r>
      <w:proofErr w:type="gramEnd"/>
      <w:r>
        <w:rPr>
          <w:rFonts w:ascii="Times New Roman" w:eastAsia="Times New Roman" w:hAnsi="Times New Roman" w:cs="Times New Roman"/>
          <w:sz w:val="28"/>
          <w:szCs w:val="28"/>
        </w:rPr>
        <w:t xml:space="preserve"> as a </w:t>
      </w:r>
      <w:proofErr w:type="gramStart"/>
      <w:r>
        <w:rPr>
          <w:rFonts w:ascii="Times New Roman" w:eastAsia="Times New Roman" w:hAnsi="Times New Roman" w:cs="Times New Roman"/>
          <w:sz w:val="28"/>
          <w:szCs w:val="28"/>
        </w:rPr>
        <w:t>threat, but</w:t>
      </w:r>
      <w:proofErr w:type="gramEnd"/>
      <w:r>
        <w:rPr>
          <w:rFonts w:ascii="Times New Roman" w:eastAsia="Times New Roman" w:hAnsi="Times New Roman" w:cs="Times New Roman"/>
          <w:sz w:val="28"/>
          <w:szCs w:val="28"/>
        </w:rPr>
        <w:t xml:space="preserve"> instead used to strengthen the economy and reduce growing inequality.</w:t>
      </w:r>
    </w:p>
    <w:sectPr w:rsidR="009D3BF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AD4D825-D661-4F0E-9DDE-77D32DFBA4B9}"/>
  </w:font>
  <w:font w:name="Cambria">
    <w:panose1 w:val="02040503050406030204"/>
    <w:charset w:val="00"/>
    <w:family w:val="roman"/>
    <w:pitch w:val="variable"/>
    <w:sig w:usb0="E00006FF" w:usb1="420024FF" w:usb2="02000000" w:usb3="00000000" w:csb0="0000019F" w:csb1="00000000"/>
    <w:embedRegular r:id="rId2" w:fontKey="{D1D38916-5D61-433E-99A9-59FF387E415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BF6"/>
    <w:rsid w:val="00291801"/>
    <w:rsid w:val="009D3BF6"/>
    <w:rsid w:val="00F50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C8CF2B-C071-4A6E-BDA2-4B02A90F8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pi.org/publication/charting-wage-stagnation/" TargetMode="External"/><Relationship Id="rId18" Type="http://schemas.openxmlformats.org/officeDocument/2006/relationships/hyperlink" Target="https://www.empower.com/the-currency/money/stagflation" TargetMode="External"/><Relationship Id="rId26" Type="http://schemas.openxmlformats.org/officeDocument/2006/relationships/hyperlink" Target="https://www.pewresearch.org/short-reads/2018/08/07/for-most-us-workers-real-wages-have-barely-budged-for-decades/" TargetMode="External"/><Relationship Id="rId39" Type="http://schemas.openxmlformats.org/officeDocument/2006/relationships/hyperlink" Target="https://www.americanprogress.org/article/americans-wages-are-higher-than-they-have-ever-been-and-employment-is-near-its-all-time-high/" TargetMode="External"/><Relationship Id="rId21" Type="http://schemas.openxmlformats.org/officeDocument/2006/relationships/hyperlink" Target="https://www.bankrate.com/banking/federal-reserve/history-of-federal-funds-rate/" TargetMode="External"/><Relationship Id="rId34" Type="http://schemas.openxmlformats.org/officeDocument/2006/relationships/hyperlink" Target="https://www.mercatus.org/research/policy-briefs/effective-monetary-policy-nominal-gdp-level-targeting" TargetMode="External"/><Relationship Id="rId7" Type="http://schemas.openxmlformats.org/officeDocument/2006/relationships/hyperlink" Target="https://www.atlantafed.org/en/blogs/macroblog/2023/02/14/real-wage-growth--view-from-wage-growth-tracker" TargetMode="External"/><Relationship Id="rId2" Type="http://schemas.openxmlformats.org/officeDocument/2006/relationships/settings" Target="settings.xml"/><Relationship Id="rId16" Type="http://schemas.openxmlformats.org/officeDocument/2006/relationships/hyperlink" Target="https://www.richmondfed.org/-/media/richmondfedorg/publications/research/economic_quarterly/2001/winter/pdf/leach.pdf" TargetMode="External"/><Relationship Id="rId20" Type="http://schemas.openxmlformats.org/officeDocument/2006/relationships/hyperlink" Target="https://www.npr.org/2015/12/15/459871005/how-former-fed-chairman-paul-volcker-tamed-inflation-maybe-for-good" TargetMode="External"/><Relationship Id="rId29" Type="http://schemas.openxmlformats.org/officeDocument/2006/relationships/hyperlink" Target="https://link.springer.com/article/10.1007/s10888-021-09481-y"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independentmediainstitute.org/economy-for-all/" TargetMode="External"/><Relationship Id="rId11" Type="http://schemas.openxmlformats.org/officeDocument/2006/relationships/hyperlink" Target="https://www.bls.gov/spotlight/2022/inflation-experiences-for-lower-and-higher-income-households/" TargetMode="External"/><Relationship Id="rId24" Type="http://schemas.openxmlformats.org/officeDocument/2006/relationships/hyperlink" Target="https://www.epi.org/publication/briefingpapers_employ/" TargetMode="External"/><Relationship Id="rId32" Type="http://schemas.openxmlformats.org/officeDocument/2006/relationships/hyperlink" Target="https://www.globalneighbours.org/china-pushes-minimum-wage-hikes-to-spur-sluggish-consumption/" TargetMode="External"/><Relationship Id="rId37" Type="http://schemas.openxmlformats.org/officeDocument/2006/relationships/hyperlink" Target="http://www.collectedworksofwarrenmosler.com/research-reports/PDF_Fiscal%20policy%20and%20the%20job%20guarantee.pdf" TargetMode="External"/><Relationship Id="rId40" Type="http://schemas.openxmlformats.org/officeDocument/2006/relationships/fontTable" Target="fontTable.xml"/><Relationship Id="rId5" Type="http://schemas.openxmlformats.org/officeDocument/2006/relationships/hyperlink" Target="https://rowman.com/ISBN/9780761873389/" TargetMode="External"/><Relationship Id="rId15" Type="http://schemas.openxmlformats.org/officeDocument/2006/relationships/hyperlink" Target="https://www.history.com/articles/federal-reserve-bank-origins-history" TargetMode="External"/><Relationship Id="rId23" Type="http://schemas.openxmlformats.org/officeDocument/2006/relationships/hyperlink" Target="https://www.epi.org/publication/issuebriefs_ib136/" TargetMode="External"/><Relationship Id="rId28" Type="http://schemas.openxmlformats.org/officeDocument/2006/relationships/hyperlink" Target="https://www.bls.gov/opub/btn/volume-11/exploring-price-increases-in-2021-and-previous-periods-of-inflation.htm" TargetMode="External"/><Relationship Id="rId36" Type="http://schemas.openxmlformats.org/officeDocument/2006/relationships/hyperlink" Target="https://www.billmitchell.org/publications/journals/J37_2001.pdf" TargetMode="External"/><Relationship Id="rId10" Type="http://schemas.openxmlformats.org/officeDocument/2006/relationships/hyperlink" Target="https://www.americanprogress.org/article/americans-wages-are-higher-than-they-have-ever-been-and-employment-is-near-its-all-time-high/" TargetMode="External"/><Relationship Id="rId19" Type="http://schemas.openxmlformats.org/officeDocument/2006/relationships/hyperlink" Target="https://www.investopedia.com/articles/investing/100715/breaking-down-federal-reserves-dual-mandate.asp" TargetMode="External"/><Relationship Id="rId31" Type="http://schemas.openxmlformats.org/officeDocument/2006/relationships/hyperlink" Target="https://www.bloomberg.com/news/articles/2021-07-27/china-s-escalating-property-curbs-underline-xi-s-new-priority" TargetMode="External"/><Relationship Id="rId4" Type="http://schemas.openxmlformats.org/officeDocument/2006/relationships/hyperlink" Target="https://independentmediainstitute.org/" TargetMode="External"/><Relationship Id="rId9" Type="http://schemas.openxmlformats.org/officeDocument/2006/relationships/hyperlink" Target="https://usafacts.org/answers/are-wages-keeping-up-with-inflation/country/united-states/" TargetMode="External"/><Relationship Id="rId14" Type="http://schemas.openxmlformats.org/officeDocument/2006/relationships/hyperlink" Target="https://www.epi.org/publication/issuebriefs_ib132/" TargetMode="External"/><Relationship Id="rId22" Type="http://schemas.openxmlformats.org/officeDocument/2006/relationships/hyperlink" Target="https://www.epi.org/blog/growing-inequalities-reflecting-growing-employer-power-have-generated-a-productivity-pay-gap-since-1979-productivity-has-grown-3-5-times-as-much-as-pay-for-the-typical-worker/" TargetMode="External"/><Relationship Id="rId27" Type="http://schemas.openxmlformats.org/officeDocument/2006/relationships/hyperlink" Target="https://www.brookings.edu/articles/wp-content/uploads/2023/06/WP86-Bernanke-Blanchard_6.13.pdf" TargetMode="External"/><Relationship Id="rId30" Type="http://schemas.openxmlformats.org/officeDocument/2006/relationships/hyperlink" Target="https://www.reuters.com/markets/us/boj-targetting-moderate-inflation-backed-by-wage-gains-ueda-says-2025-11-13/" TargetMode="External"/><Relationship Id="rId35" Type="http://schemas.openxmlformats.org/officeDocument/2006/relationships/hyperlink" Target="https://www.boell.de/en/2024/06/18/buffer-stocks-against-inflation" TargetMode="External"/><Relationship Id="rId8" Type="http://schemas.openxmlformats.org/officeDocument/2006/relationships/hyperlink" Target="https://www.forbes.com/advisor/investing/fed-funds-rate-history/" TargetMode="External"/><Relationship Id="rId3" Type="http://schemas.openxmlformats.org/officeDocument/2006/relationships/webSettings" Target="webSettings.xml"/><Relationship Id="rId12" Type="http://schemas.openxmlformats.org/officeDocument/2006/relationships/hyperlink" Target="https://www.statista.com/chart/32428/inflation-and-wage-growth-in-the-united-states/?srsltid=AfmBOop3KbBJNB-5AidcwqeeWRlnUkh_oQIufmvoO9ShYY9a7TzJLVm7" TargetMode="External"/><Relationship Id="rId17" Type="http://schemas.openxmlformats.org/officeDocument/2006/relationships/hyperlink" Target="https://www.nisa.com/perspectives/the-phillips-curve-is-dead-long-live-the-phillips-curve/" TargetMode="External"/><Relationship Id="rId25" Type="http://schemas.openxmlformats.org/officeDocument/2006/relationships/hyperlink" Target="https://www.macrotrends.net/2497/historical-inflation-rate-by-year" TargetMode="External"/><Relationship Id="rId33" Type="http://schemas.openxmlformats.org/officeDocument/2006/relationships/hyperlink" Target="https://www.theatlantic.com/business/archive/2011/10/christina-romer-calls-for-a-new-fed-target/247649/" TargetMode="External"/><Relationship Id="rId38" Type="http://schemas.openxmlformats.org/officeDocument/2006/relationships/hyperlink" Target="https://www.rbcwealthmanagement.com/en-us/insights/us-productivity-renaissanc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1917</Words>
  <Characters>10929</Characters>
  <Application>Microsoft Office Word</Application>
  <DocSecurity>0</DocSecurity>
  <Lines>91</Lines>
  <Paragraphs>25</Paragraphs>
  <ScaleCrop>false</ScaleCrop>
  <Company/>
  <LinksUpToDate>false</LinksUpToDate>
  <CharactersWithSpaces>12821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Ruhi Bhasin</dc:creator>
  <cp:lastModifiedBy>Ruhi Bhasin</cp:lastModifiedBy>
  <cp:revision>2</cp:revision>
  <dcterms:created xsi:type="dcterms:W3CDTF">2025-11-26T15:30:00Z</dcterms:created>
  <dcterms:modified xsi:type="dcterms:W3CDTF">2025-11-26T15:30:00Z</dcterms:modified>
</cp:coreProperties>
</file>