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8"/>
          <w:szCs w:val="28"/>
          <w:rtl w:val="0"/>
        </w:rPr>
        <w:t xml:space="preserve">Why Many of Us Have Problems Facing Death</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and How to Get Through It</w:t>
      </w:r>
      <w:r w:rsidDel="00000000" w:rsidR="00000000" w:rsidRPr="00000000">
        <w:rPr>
          <w:rtl w:val="0"/>
        </w:rPr>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Responding to a population seeking practical knowledge and tools, the death literacy movement is filling a much-needed void by offering clarity, comfort, and confidence.</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Caren Martineau and Sarah Parker Ward</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5">
      <w:pPr>
        <w:spacing w:after="200" w:before="20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Caren Martineau</w:t>
      </w:r>
      <w:r w:rsidDel="00000000" w:rsidR="00000000" w:rsidRPr="00000000">
        <w:rPr>
          <w:rFonts w:ascii="Times New Roman" w:cs="Times New Roman" w:eastAsia="Times New Roman" w:hAnsi="Times New Roman"/>
          <w:sz w:val="28"/>
          <w:szCs w:val="28"/>
          <w:rtl w:val="0"/>
        </w:rPr>
        <w:t xml:space="preserve"> is the CEO and founder of </w:t>
      </w:r>
      <w:hyperlink r:id="rId6">
        <w:r w:rsidDel="00000000" w:rsidR="00000000" w:rsidRPr="00000000">
          <w:rPr>
            <w:rFonts w:ascii="Times New Roman" w:cs="Times New Roman" w:eastAsia="Times New Roman" w:hAnsi="Times New Roman"/>
            <w:color w:val="1155cc"/>
            <w:sz w:val="28"/>
            <w:szCs w:val="28"/>
            <w:u w:val="single"/>
            <w:rtl w:val="0"/>
          </w:rPr>
          <w:t xml:space="preserve">Bevival</w:t>
        </w:r>
      </w:hyperlink>
      <w:r w:rsidDel="00000000" w:rsidR="00000000" w:rsidRPr="00000000">
        <w:rPr>
          <w:rFonts w:ascii="Times New Roman" w:cs="Times New Roman" w:eastAsia="Times New Roman" w:hAnsi="Times New Roman"/>
          <w:sz w:val="28"/>
          <w:szCs w:val="28"/>
          <w:rtl w:val="0"/>
        </w:rPr>
        <w:t xml:space="preserve">, a death literacy content brand and movement dedicated to promoting death literacy. Find her online here at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carenmartineau.com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6">
      <w:pPr>
        <w:spacing w:after="200" w:before="20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Sarah Parker Ward</w:t>
      </w:r>
      <w:r w:rsidDel="00000000" w:rsidR="00000000" w:rsidRPr="00000000">
        <w:rPr>
          <w:rFonts w:ascii="Times New Roman" w:cs="Times New Roman" w:eastAsia="Times New Roman" w:hAnsi="Times New Roman"/>
          <w:sz w:val="28"/>
          <w:szCs w:val="28"/>
          <w:rtl w:val="0"/>
        </w:rPr>
        <w:t xml:space="preserve"> is a trained death doula and member of the </w:t>
      </w:r>
      <w:hyperlink r:id="rId8">
        <w:r w:rsidDel="00000000" w:rsidR="00000000" w:rsidRPr="00000000">
          <w:rPr>
            <w:rFonts w:ascii="Times New Roman" w:cs="Times New Roman" w:eastAsia="Times New Roman" w:hAnsi="Times New Roman"/>
            <w:color w:val="1155cc"/>
            <w:sz w:val="28"/>
            <w:szCs w:val="28"/>
            <w:u w:val="single"/>
            <w:rtl w:val="0"/>
          </w:rPr>
          <w:t xml:space="preserve">National Home Funeral Alliance</w:t>
        </w:r>
      </w:hyperlink>
      <w:r w:rsidDel="00000000" w:rsidR="00000000" w:rsidRPr="00000000">
        <w:rPr>
          <w:rFonts w:ascii="Times New Roman" w:cs="Times New Roman" w:eastAsia="Times New Roman" w:hAnsi="Times New Roman"/>
          <w:sz w:val="28"/>
          <w:szCs w:val="28"/>
          <w:rtl w:val="0"/>
        </w:rPr>
        <w:t xml:space="preserve"> and the </w:t>
      </w:r>
      <w:hyperlink r:id="rId9">
        <w:r w:rsidDel="00000000" w:rsidR="00000000" w:rsidRPr="00000000">
          <w:rPr>
            <w:rFonts w:ascii="Times New Roman" w:cs="Times New Roman" w:eastAsia="Times New Roman" w:hAnsi="Times New Roman"/>
            <w:color w:val="1155cc"/>
            <w:sz w:val="28"/>
            <w:szCs w:val="28"/>
            <w:u w:val="single"/>
            <w:rtl w:val="0"/>
          </w:rPr>
          <w:t xml:space="preserve">National End-of-Life Doula Alliance</w:t>
        </w:r>
      </w:hyperlink>
      <w:r w:rsidDel="00000000" w:rsidR="00000000" w:rsidRPr="00000000">
        <w:rPr>
          <w:rFonts w:ascii="Times New Roman" w:cs="Times New Roman" w:eastAsia="Times New Roman" w:hAnsi="Times New Roman"/>
          <w:sz w:val="28"/>
          <w:szCs w:val="28"/>
          <w:rtl w:val="0"/>
        </w:rPr>
        <w:t xml:space="preserve">. She holds a PhD from Boston University, </w:t>
      </w:r>
      <w:r w:rsidDel="00000000" w:rsidR="00000000" w:rsidRPr="00000000">
        <w:rPr>
          <w:rFonts w:ascii="Times New Roman" w:cs="Times New Roman" w:eastAsia="Times New Roman" w:hAnsi="Times New Roman"/>
          <w:sz w:val="28"/>
          <w:szCs w:val="28"/>
          <w:rtl w:val="0"/>
        </w:rPr>
        <w:t xml:space="preserve">where she studied death cognition and its policy impacts.</w:t>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10">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Culture, Science, History, Philosophy, Health Care, North America/United States of America, Europe/France, Asia/India, Opinion</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Note by </w:t>
      </w:r>
      <w:r w:rsidDel="00000000" w:rsidR="00000000" w:rsidRPr="00000000">
        <w:rPr>
          <w:rFonts w:ascii="Times New Roman" w:cs="Times New Roman" w:eastAsia="Times New Roman" w:hAnsi="Times New Roman"/>
          <w:b w:val="1"/>
          <w:bCs w:val="1"/>
          <w:i w:val="1"/>
          <w:iCs w:val="1"/>
          <w:sz w:val="28"/>
          <w:szCs w:val="28"/>
          <w:rtl w:val="0"/>
        </w:rPr>
        <w:t xml:space="preserve">Caren Martineau</w:t>
      </w:r>
      <w:r w:rsidDel="00000000" w:rsidR="00000000" w:rsidRPr="00000000">
        <w:rPr>
          <w:rFonts w:ascii="Times New Roman" w:cs="Times New Roman" w:eastAsia="Times New Roman" w:hAnsi="Times New Roman"/>
          <w:b w:val="1"/>
          <w:bCs w:val="1"/>
          <w:i w:val="1"/>
          <w:iCs w:val="1"/>
          <w:sz w:val="28"/>
          <w:szCs w:val="28"/>
          <w:rtl w:val="0"/>
        </w:rPr>
        <w:t xml:space="preserve">:</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Having explored the implications of America’s aging demographic in my </w:t>
      </w:r>
      <w:hyperlink r:id="rId11">
        <w:r w:rsidDel="00000000" w:rsidR="00000000" w:rsidRPr="00000000">
          <w:rPr>
            <w:rFonts w:ascii="Times New Roman" w:cs="Times New Roman" w:eastAsia="Times New Roman" w:hAnsi="Times New Roman"/>
            <w:i w:val="1"/>
            <w:iCs w:val="1"/>
            <w:color w:val="1155cc"/>
            <w:sz w:val="28"/>
            <w:szCs w:val="28"/>
            <w:u w:val="single"/>
            <w:rtl w:val="0"/>
          </w:rPr>
          <w:t xml:space="preserve">introductory article</w:t>
        </w:r>
      </w:hyperlink>
      <w:r w:rsidDel="00000000" w:rsidR="00000000" w:rsidRPr="00000000">
        <w:rPr>
          <w:rFonts w:ascii="Times New Roman" w:cs="Times New Roman" w:eastAsia="Times New Roman" w:hAnsi="Times New Roman"/>
          <w:i w:val="1"/>
          <w:iCs w:val="1"/>
          <w:sz w:val="28"/>
          <w:szCs w:val="28"/>
          <w:rtl w:val="0"/>
        </w:rPr>
        <w:t xml:space="preserve">, I wanted to follow up with a piece that continues to provide information, clarity, and encouragement in support of personal and cultural transformation. By helping readers understand the evolution of death denial and its effect on our cultural behavior, individuals gain awareness that can positively impact and enhance their lives. </w:t>
      </w:r>
      <w:r w:rsidDel="00000000" w:rsidR="00000000" w:rsidRPr="00000000">
        <w:rPr>
          <w:rFonts w:ascii="Times New Roman" w:cs="Times New Roman" w:eastAsia="Times New Roman" w:hAnsi="Times New Roman"/>
          <w:i w:val="1"/>
          <w:iCs w:val="1"/>
          <w:sz w:val="28"/>
          <w:szCs w:val="28"/>
          <w:rtl w:val="0"/>
        </w:rPr>
        <w:t xml:space="preserve">For this article</w:t>
      </w:r>
      <w:r w:rsidDel="00000000" w:rsidR="00000000" w:rsidRPr="00000000">
        <w:rPr>
          <w:rFonts w:ascii="Times New Roman" w:cs="Times New Roman" w:eastAsia="Times New Roman" w:hAnsi="Times New Roman"/>
          <w:i w:val="1"/>
          <w:iCs w:val="1"/>
          <w:sz w:val="28"/>
          <w:szCs w:val="28"/>
          <w:rtl w:val="0"/>
        </w:rPr>
        <w:t xml:space="preserve">, I enlisted the help of my </w:t>
      </w:r>
      <w:r w:rsidDel="00000000" w:rsidR="00000000" w:rsidRPr="00000000">
        <w:rPr>
          <w:rFonts w:ascii="Times New Roman" w:cs="Times New Roman" w:eastAsia="Times New Roman" w:hAnsi="Times New Roman"/>
          <w:i w:val="1"/>
          <w:iCs w:val="1"/>
          <w:sz w:val="28"/>
          <w:szCs w:val="28"/>
          <w:rtl w:val="0"/>
        </w:rPr>
        <w:t xml:space="preserve">esteemed colleague</w:t>
      </w:r>
      <w:r w:rsidDel="00000000" w:rsidR="00000000" w:rsidRPr="00000000">
        <w:rPr>
          <w:rFonts w:ascii="Times New Roman" w:cs="Times New Roman" w:eastAsia="Times New Roman" w:hAnsi="Times New Roman"/>
          <w:i w:val="1"/>
          <w:iCs w:val="1"/>
          <w:sz w:val="28"/>
          <w:szCs w:val="28"/>
          <w:rtl w:val="0"/>
        </w:rPr>
        <w:t xml:space="preserve"> </w:t>
      </w:r>
      <w:hyperlink r:id="rId12">
        <w:r w:rsidDel="00000000" w:rsidR="00000000" w:rsidRPr="00000000">
          <w:rPr>
            <w:rFonts w:ascii="Times New Roman" w:cs="Times New Roman" w:eastAsia="Times New Roman" w:hAnsi="Times New Roman"/>
            <w:i w:val="1"/>
            <w:iCs w:val="1"/>
            <w:color w:val="1155cc"/>
            <w:sz w:val="28"/>
            <w:szCs w:val="28"/>
            <w:u w:val="single"/>
            <w:rtl w:val="0"/>
          </w:rPr>
          <w:t xml:space="preserve">Sarah Parker Ward</w:t>
        </w:r>
      </w:hyperlink>
      <w:r w:rsidDel="00000000" w:rsidR="00000000" w:rsidRPr="00000000">
        <w:rPr>
          <w:rFonts w:ascii="Times New Roman" w:cs="Times New Roman" w:eastAsia="Times New Roman" w:hAnsi="Times New Roman"/>
          <w:i w:val="1"/>
          <w:iCs w:val="1"/>
          <w:sz w:val="28"/>
          <w:szCs w:val="28"/>
          <w:rtl w:val="0"/>
        </w:rPr>
        <w:t xml:space="preserve">, who is well-versed in behaviors that drive and perpetuate cultural resistance</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the cultural transition from a society that found comfort in end-of-life rituals to one that has distanced itself from the natural dying process, it is </w:t>
      </w:r>
      <w:r w:rsidDel="00000000" w:rsidR="00000000" w:rsidRPr="00000000">
        <w:rPr>
          <w:rFonts w:ascii="Times New Roman" w:cs="Times New Roman" w:eastAsia="Times New Roman" w:hAnsi="Times New Roman"/>
          <w:sz w:val="28"/>
          <w:szCs w:val="28"/>
          <w:rtl w:val="0"/>
        </w:rPr>
        <w:t xml:space="preserve">essential</w:t>
      </w:r>
      <w:r w:rsidDel="00000000" w:rsidR="00000000" w:rsidRPr="00000000">
        <w:rPr>
          <w:rFonts w:ascii="Times New Roman" w:cs="Times New Roman" w:eastAsia="Times New Roman" w:hAnsi="Times New Roman"/>
          <w:sz w:val="28"/>
          <w:szCs w:val="28"/>
          <w:rtl w:val="0"/>
        </w:rPr>
        <w:t xml:space="preserve"> to </w:t>
      </w:r>
      <w:r w:rsidDel="00000000" w:rsidR="00000000" w:rsidRPr="00000000">
        <w:rPr>
          <w:rFonts w:ascii="Times New Roman" w:cs="Times New Roman" w:eastAsia="Times New Roman" w:hAnsi="Times New Roman"/>
          <w:sz w:val="28"/>
          <w:szCs w:val="28"/>
          <w:rtl w:val="0"/>
        </w:rPr>
        <w:t xml:space="preserve">look</w:t>
      </w:r>
      <w:r w:rsidDel="00000000" w:rsidR="00000000" w:rsidRPr="00000000">
        <w:rPr>
          <w:rFonts w:ascii="Times New Roman" w:cs="Times New Roman" w:eastAsia="Times New Roman" w:hAnsi="Times New Roman"/>
          <w:sz w:val="28"/>
          <w:szCs w:val="28"/>
          <w:rtl w:val="0"/>
        </w:rPr>
        <w:t xml:space="preserve"> back to the Civil War era—a period when America was drowning in unrelenting grief and catastrophic loss of life.</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3">
        <w:r w:rsidDel="00000000" w:rsidR="00000000" w:rsidRPr="00000000">
          <w:rPr>
            <w:rFonts w:ascii="Times New Roman" w:cs="Times New Roman" w:eastAsia="Times New Roman" w:hAnsi="Times New Roman"/>
            <w:color w:val="1155cc"/>
            <w:sz w:val="28"/>
            <w:szCs w:val="28"/>
            <w:u w:val="single"/>
            <w:rtl w:val="0"/>
          </w:rPr>
          <w:t xml:space="preserve">Second Industrial Revolution</w:t>
        </w:r>
      </w:hyperlink>
      <w:r w:rsidDel="00000000" w:rsidR="00000000" w:rsidRPr="00000000">
        <w:rPr>
          <w:rFonts w:ascii="Times New Roman" w:cs="Times New Roman" w:eastAsia="Times New Roman" w:hAnsi="Times New Roman"/>
          <w:sz w:val="28"/>
          <w:szCs w:val="28"/>
          <w:rtl w:val="0"/>
        </w:rPr>
        <w:t xml:space="preserve"> became a fresh start for a country torn apart by war. The convergence of innovation, science, and medical advancements spurred the rise of American can-do optimism, economic opportunity, and societal transformation. Rural populations migrated toward </w:t>
      </w:r>
      <w:hyperlink r:id="rId14">
        <w:r w:rsidDel="00000000" w:rsidR="00000000" w:rsidRPr="00000000">
          <w:rPr>
            <w:rFonts w:ascii="Times New Roman" w:cs="Times New Roman" w:eastAsia="Times New Roman" w:hAnsi="Times New Roman"/>
            <w:color w:val="1155cc"/>
            <w:sz w:val="28"/>
            <w:szCs w:val="28"/>
            <w:u w:val="single"/>
            <w:rtl w:val="0"/>
          </w:rPr>
          <w:t xml:space="preserve">industrialized centers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where hospitals welcomed the sick into their modern, sterilized environments. In these rapidly expanding communities, the practice of out-of-home care eventually replaced the traveling country doctor and, more significantly, reduced the cathartic gatherings and intergenerational knowledge-sharing that traditionally accompanied end-of-life rituals.</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It was in these sanitized, clinical environments where death became a medicalized condition and the underpinnings of death denial developed its roots.</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Death and Dying in the 21st Century: </w:t>
      </w:r>
      <w:r w:rsidDel="00000000" w:rsidR="00000000" w:rsidRPr="00000000">
        <w:rPr>
          <w:rFonts w:ascii="Times New Roman" w:cs="Times New Roman" w:eastAsia="Times New Roman" w:hAnsi="Times New Roman"/>
          <w:b w:val="1"/>
          <w:bCs w:val="1"/>
          <w:sz w:val="28"/>
          <w:szCs w:val="28"/>
          <w:rtl w:val="0"/>
        </w:rPr>
        <w:t xml:space="preserve">Why the Status Quo Can’t Last</w:t>
      </w:r>
      <w:r w:rsidDel="00000000" w:rsidR="00000000" w:rsidRPr="00000000">
        <w:rPr>
          <w:rtl w:val="0"/>
        </w:rPr>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The 1990s </w:t>
      </w:r>
      <w:r w:rsidDel="00000000" w:rsidR="00000000" w:rsidRPr="00000000">
        <w:rPr>
          <w:rFonts w:ascii="Times New Roman" w:cs="Times New Roman" w:eastAsia="Times New Roman" w:hAnsi="Times New Roman"/>
          <w:sz w:val="28"/>
          <w:szCs w:val="28"/>
          <w:rtl w:val="0"/>
        </w:rPr>
        <w:t xml:space="preserve">witnessed</w:t>
      </w:r>
      <w:r w:rsidDel="00000000" w:rsidR="00000000" w:rsidRPr="00000000">
        <w:rPr>
          <w:rFonts w:ascii="Times New Roman" w:cs="Times New Roman" w:eastAsia="Times New Roman" w:hAnsi="Times New Roman"/>
          <w:sz w:val="28"/>
          <w:szCs w:val="28"/>
          <w:rtl w:val="0"/>
        </w:rPr>
        <w:t xml:space="preserve"> the emergence of the </w:t>
      </w:r>
      <w:r w:rsidDel="00000000" w:rsidR="00000000" w:rsidRPr="00000000">
        <w:rPr>
          <w:rFonts w:ascii="Times New Roman" w:cs="Times New Roman" w:eastAsia="Times New Roman" w:hAnsi="Times New Roman"/>
          <w:sz w:val="28"/>
          <w:szCs w:val="28"/>
          <w:rtl w:val="0"/>
        </w:rPr>
        <w:t xml:space="preserve">aging zeitgeist</w:t>
      </w:r>
      <w:r w:rsidDel="00000000" w:rsidR="00000000" w:rsidRPr="00000000">
        <w:rPr>
          <w:rFonts w:ascii="Times New Roman" w:cs="Times New Roman" w:eastAsia="Times New Roman" w:hAnsi="Times New Roman"/>
          <w:sz w:val="28"/>
          <w:szCs w:val="28"/>
          <w:rtl w:val="0"/>
        </w:rPr>
        <w:t xml:space="preserve">, a new generation of interdisciplinary advocates—referred to by scholar </w:t>
      </w:r>
      <w:hyperlink r:id="rId15">
        <w:r w:rsidDel="00000000" w:rsidR="00000000" w:rsidRPr="00000000">
          <w:rPr>
            <w:rFonts w:ascii="Times New Roman" w:cs="Times New Roman" w:eastAsia="Times New Roman" w:hAnsi="Times New Roman"/>
            <w:color w:val="1155cc"/>
            <w:sz w:val="28"/>
            <w:szCs w:val="28"/>
            <w:u w:val="single"/>
            <w:rtl w:val="0"/>
          </w:rPr>
          <w:t xml:space="preserve">Tony Walter</w:t>
        </w:r>
      </w:hyperlink>
      <w:r w:rsidDel="00000000" w:rsidR="00000000" w:rsidRPr="00000000">
        <w:rPr>
          <w:rFonts w:ascii="Times New Roman" w:cs="Times New Roman" w:eastAsia="Times New Roman" w:hAnsi="Times New Roman"/>
          <w:sz w:val="28"/>
          <w:szCs w:val="28"/>
          <w:rtl w:val="0"/>
        </w:rPr>
        <w:t xml:space="preserve"> as </w:t>
      </w:r>
      <w:r w:rsidDel="00000000" w:rsidR="00000000" w:rsidRPr="00000000">
        <w:rPr>
          <w:rFonts w:ascii="Times New Roman" w:cs="Times New Roman" w:eastAsia="Times New Roman" w:hAnsi="Times New Roman"/>
          <w:sz w:val="28"/>
          <w:szCs w:val="28"/>
          <w:rtl w:val="0"/>
        </w:rPr>
        <w:t xml:space="preserve">“neomodern revivalists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—who sought to rekindle interpersonal </w:t>
      </w:r>
      <w:r w:rsidDel="00000000" w:rsidR="00000000" w:rsidRPr="00000000">
        <w:rPr>
          <w:rFonts w:ascii="Times New Roman" w:cs="Times New Roman" w:eastAsia="Times New Roman" w:hAnsi="Times New Roman"/>
          <w:sz w:val="28"/>
          <w:szCs w:val="28"/>
          <w:rtl w:val="0"/>
        </w:rPr>
        <w:t xml:space="preserve">relationships with death </w:t>
      </w:r>
      <w:r w:rsidDel="00000000" w:rsidR="00000000" w:rsidRPr="00000000">
        <w:rPr>
          <w:rFonts w:ascii="Times New Roman" w:cs="Times New Roman" w:eastAsia="Times New Roman" w:hAnsi="Times New Roman"/>
          <w:sz w:val="28"/>
          <w:szCs w:val="28"/>
          <w:rtl w:val="0"/>
        </w:rPr>
        <w:t xml:space="preserve">rather than institutionalized </w:t>
      </w:r>
      <w:r w:rsidDel="00000000" w:rsidR="00000000" w:rsidRPr="00000000">
        <w:rPr>
          <w:rFonts w:ascii="Times New Roman" w:cs="Times New Roman" w:eastAsia="Times New Roman" w:hAnsi="Times New Roman"/>
          <w:sz w:val="28"/>
          <w:szCs w:val="28"/>
          <w:rtl w:val="0"/>
        </w:rPr>
        <w:t xml:space="preserve">ones</w:t>
      </w:r>
      <w:r w:rsidDel="00000000" w:rsidR="00000000" w:rsidRPr="00000000">
        <w:rPr>
          <w:rFonts w:ascii="Times New Roman" w:cs="Times New Roman" w:eastAsia="Times New Roman" w:hAnsi="Times New Roman"/>
          <w:sz w:val="28"/>
          <w:szCs w:val="28"/>
          <w:rtl w:val="0"/>
        </w:rPr>
        <w:t xml:space="preserve">. Like most consciousness-raising movements, socially driven individuals and do-good nonprofits embraced this ethos. Together, these early adopters sought to confront death denial and needless end-of-life suffering through education. Slow-moving at first, attempts to destigmatize the taboo with more forthright conversations on emotional well-being, </w:t>
      </w:r>
      <w:hyperlink r:id="rId16">
        <w:r w:rsidDel="00000000" w:rsidR="00000000" w:rsidRPr="00000000">
          <w:rPr>
            <w:rFonts w:ascii="Times New Roman" w:cs="Times New Roman" w:eastAsia="Times New Roman" w:hAnsi="Times New Roman"/>
            <w:color w:val="1155cc"/>
            <w:sz w:val="28"/>
            <w:szCs w:val="28"/>
            <w:u w:val="single"/>
            <w:rtl w:val="0"/>
          </w:rPr>
          <w:t xml:space="preserve">particularly among younger generations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have</w:t>
      </w:r>
      <w:r w:rsidDel="00000000" w:rsidR="00000000" w:rsidRPr="00000000">
        <w:rPr>
          <w:rFonts w:ascii="Times New Roman" w:cs="Times New Roman" w:eastAsia="Times New Roman" w:hAnsi="Times New Roman"/>
          <w:sz w:val="28"/>
          <w:szCs w:val="28"/>
          <w:rtl w:val="0"/>
        </w:rPr>
        <w:t xml:space="preserve"> shifted in the aftermath of the COVID pandemic. </w:t>
      </w:r>
      <w:r w:rsidDel="00000000" w:rsidR="00000000" w:rsidRPr="00000000">
        <w:rPr>
          <w:rFonts w:ascii="Times New Roman" w:cs="Times New Roman" w:eastAsia="Times New Roman" w:hAnsi="Times New Roman"/>
          <w:sz w:val="28"/>
          <w:szCs w:val="28"/>
          <w:rtl w:val="0"/>
        </w:rPr>
        <w:t xml:space="preserve">As professor of psychology Lauren Breen </w:t>
      </w:r>
      <w:hyperlink r:id="rId17">
        <w:r w:rsidDel="00000000" w:rsidR="00000000" w:rsidRPr="00000000">
          <w:rPr>
            <w:rFonts w:ascii="Times New Roman" w:cs="Times New Roman" w:eastAsia="Times New Roman" w:hAnsi="Times New Roman"/>
            <w:color w:val="1155cc"/>
            <w:sz w:val="28"/>
            <w:szCs w:val="28"/>
            <w:u w:val="single"/>
            <w:rtl w:val="0"/>
          </w:rPr>
          <w:t xml:space="preserve">pointed out in the Conversation</w:t>
        </w:r>
      </w:hyperlink>
      <w:r w:rsidDel="00000000" w:rsidR="00000000" w:rsidRPr="00000000">
        <w:rPr>
          <w:rFonts w:ascii="Times New Roman" w:cs="Times New Roman" w:eastAsia="Times New Roman" w:hAnsi="Times New Roman"/>
          <w:sz w:val="28"/>
          <w:szCs w:val="28"/>
          <w:rtl w:val="0"/>
        </w:rPr>
        <w:t xml:space="preserve">, in 2022, “</w:t>
      </w:r>
      <w:r w:rsidDel="00000000" w:rsidR="00000000" w:rsidRPr="00000000">
        <w:rPr>
          <w:rFonts w:ascii="Times New Roman" w:cs="Times New Roman" w:eastAsia="Times New Roman" w:hAnsi="Times New Roman"/>
          <w:sz w:val="28"/>
          <w:szCs w:val="28"/>
          <w:highlight w:val="white"/>
          <w:rtl w:val="0"/>
        </w:rPr>
        <w:t xml:space="preserve">The pandemic has shown more than ever that we must do more to understand and support grieving people, strengthen their supporters and boost collective well-being in the wake of everyday loss and large-scale disasters.”</w:t>
      </w:r>
    </w:p>
    <w:p w:rsidR="00000000" w:rsidDel="00000000" w:rsidP="00000000" w:rsidRDefault="00000000" w:rsidRPr="00000000" w14:paraId="00000011">
      <w:pPr>
        <w:spacing w:after="200" w:before="200" w:lineRule="auto"/>
        <w:rPr>
          <w:rFonts w:ascii="Times New Roman" w:cs="Times New Roman" w:eastAsia="Times New Roman" w:hAnsi="Times New Roman"/>
          <w:color w:val="38761d"/>
          <w:sz w:val="28"/>
          <w:szCs w:val="28"/>
        </w:rPr>
      </w:pPr>
      <w:r w:rsidDel="00000000" w:rsidR="00000000" w:rsidRPr="00000000">
        <w:rPr>
          <w:rFonts w:ascii="Times New Roman" w:cs="Times New Roman" w:eastAsia="Times New Roman" w:hAnsi="Times New Roman"/>
          <w:sz w:val="28"/>
          <w:szCs w:val="28"/>
          <w:rtl w:val="0"/>
        </w:rPr>
        <w:t xml:space="preserve">After experiencing the randomness of sudden death and stunted funerary rituals at scale, people are globally heeding that call, becoming more open to talking about dying and grief. Faced with </w:t>
      </w:r>
      <w:hyperlink r:id="rId18">
        <w:r w:rsidDel="00000000" w:rsidR="00000000" w:rsidRPr="00000000">
          <w:rPr>
            <w:rFonts w:ascii="Times New Roman" w:cs="Times New Roman" w:eastAsia="Times New Roman" w:hAnsi="Times New Roman"/>
            <w:color w:val="1155cc"/>
            <w:sz w:val="28"/>
            <w:szCs w:val="28"/>
            <w:u w:val="single"/>
            <w:rtl w:val="0"/>
          </w:rPr>
          <w:t xml:space="preserve">aging populations</w:t>
        </w:r>
      </w:hyperlink>
      <w:r w:rsidDel="00000000" w:rsidR="00000000" w:rsidRPr="00000000">
        <w:rPr>
          <w:rFonts w:ascii="Times New Roman" w:cs="Times New Roman" w:eastAsia="Times New Roman" w:hAnsi="Times New Roman"/>
          <w:sz w:val="28"/>
          <w:szCs w:val="28"/>
          <w:rtl w:val="0"/>
        </w:rPr>
        <w:t xml:space="preserve">, continued reticence around end-of-life is evolving. As the International End-of-Life Doula Association </w:t>
      </w:r>
      <w:hyperlink r:id="rId19">
        <w:r w:rsidDel="00000000" w:rsidR="00000000" w:rsidRPr="00000000">
          <w:rPr>
            <w:rFonts w:ascii="Times New Roman" w:cs="Times New Roman" w:eastAsia="Times New Roman" w:hAnsi="Times New Roman"/>
            <w:color w:val="1155cc"/>
            <w:sz w:val="28"/>
            <w:szCs w:val="28"/>
            <w:u w:val="single"/>
            <w:rtl w:val="0"/>
          </w:rPr>
          <w:t xml:space="preserve">explains</w:t>
        </w:r>
      </w:hyperlink>
      <w:r w:rsidDel="00000000" w:rsidR="00000000" w:rsidRPr="00000000">
        <w:rPr>
          <w:rFonts w:ascii="Times New Roman" w:cs="Times New Roman" w:eastAsia="Times New Roman" w:hAnsi="Times New Roman"/>
          <w:sz w:val="28"/>
          <w:szCs w:val="28"/>
          <w:rtl w:val="0"/>
        </w:rPr>
        <w:t xml:space="preserve">, “In the contemporary Western way of life—family members residing in different places, multiple generations no longer sharing the same home, increasing dependence on technology, and the bias embedded in our health care system—people have lost touch with the naturalness of dying and how best to support people going through it. As a result, too many people die in fear and unnecessary suffering.”</w:t>
      </w:r>
      <w:r w:rsidDel="00000000" w:rsidR="00000000" w:rsidRPr="00000000">
        <w:rPr>
          <w:rtl w:val="0"/>
        </w:rPr>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Perception Versus Reality: Death-Readiness Indicators</w:t>
      </w:r>
      <w:r w:rsidDel="00000000" w:rsidR="00000000" w:rsidRPr="00000000">
        <w:rPr>
          <w:rtl w:val="0"/>
        </w:rPr>
      </w:r>
    </w:p>
    <w:p w:rsidR="00000000" w:rsidDel="00000000" w:rsidP="00000000" w:rsidRDefault="00000000" w:rsidRPr="00000000" w14:paraId="00000013">
      <w:pPr>
        <w:spacing w:after="200" w:before="20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While</w:t>
      </w:r>
      <w:r w:rsidDel="00000000" w:rsidR="00000000" w:rsidRPr="00000000">
        <w:rPr>
          <w:rFonts w:ascii="Times New Roman" w:cs="Times New Roman" w:eastAsia="Times New Roman" w:hAnsi="Times New Roman"/>
          <w:sz w:val="28"/>
          <w:szCs w:val="28"/>
          <w:rtl w:val="0"/>
        </w:rPr>
        <w:t xml:space="preserve"> interest</w:t>
      </w:r>
      <w:r w:rsidDel="00000000" w:rsidR="00000000" w:rsidRPr="00000000">
        <w:rPr>
          <w:rFonts w:ascii="Times New Roman" w:cs="Times New Roman" w:eastAsia="Times New Roman" w:hAnsi="Times New Roman"/>
          <w:sz w:val="28"/>
          <w:szCs w:val="28"/>
          <w:rtl w:val="0"/>
        </w:rPr>
        <w:t xml:space="preserve"> in and engagement with end-of-life conversations has become markedly more mainstream since COVID, the gaps between concept and practice demonstrate how death avoidance continues to be a barrier in most industrialized societies.</w:t>
      </w:r>
      <w:r w:rsidDel="00000000" w:rsidR="00000000" w:rsidRPr="00000000">
        <w:rPr>
          <w:rtl w:val="0"/>
        </w:rPr>
      </w:r>
    </w:p>
    <w:p w:rsidR="00000000" w:rsidDel="00000000" w:rsidP="00000000" w:rsidRDefault="00000000" w:rsidRPr="00000000" w14:paraId="0000001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Two self-declarative forms have become a reliable measure of how an aging population is coming to terms with life’s inevitable finitude. Recognized by both medical and legal communities, the advance care directive (ACD), also known as an advance care plan (ACP), and the </w:t>
      </w:r>
      <w:r w:rsidDel="00000000" w:rsidR="00000000" w:rsidRPr="00000000">
        <w:rPr>
          <w:rFonts w:ascii="Times New Roman" w:cs="Times New Roman" w:eastAsia="Times New Roman" w:hAnsi="Times New Roman"/>
          <w:sz w:val="28"/>
          <w:szCs w:val="28"/>
          <w:rtl w:val="0"/>
        </w:rPr>
        <w:t xml:space="preserve">healthcare proxy </w:t>
      </w:r>
      <w:r w:rsidDel="00000000" w:rsidR="00000000" w:rsidRPr="00000000">
        <w:rPr>
          <w:rFonts w:ascii="Times New Roman" w:cs="Times New Roman" w:eastAsia="Times New Roman" w:hAnsi="Times New Roman"/>
          <w:sz w:val="28"/>
          <w:szCs w:val="28"/>
          <w:rtl w:val="0"/>
        </w:rPr>
        <w:t xml:space="preserve">(HCP), serve as future-forward instructions for medical care. While ACD/ACP ensures that one’s values, beliefs, and goals are known and respected, the HCP, also known as a healthcare power of attorney (POA), identifies a person (the agent) authorized to make medical decisions should the patient become incapacitated. When completed and shared with family and the care team, these essential documents help eliminate the burden of uncertainty regarding one’s future care.</w:t>
      </w:r>
      <w:r w:rsidDel="00000000" w:rsidR="00000000" w:rsidRPr="00000000">
        <w:rPr>
          <w:rtl w:val="0"/>
        </w:rPr>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2020 </w:t>
      </w:r>
      <w:hyperlink r:id="rId20">
        <w:r w:rsidDel="00000000" w:rsidR="00000000" w:rsidRPr="00000000">
          <w:rPr>
            <w:rFonts w:ascii="Times New Roman" w:cs="Times New Roman" w:eastAsia="Times New Roman" w:hAnsi="Times New Roman"/>
            <w:color w:val="1155cc"/>
            <w:sz w:val="28"/>
            <w:szCs w:val="28"/>
            <w:u w:val="single"/>
            <w:rtl w:val="0"/>
          </w:rPr>
          <w:t xml:space="preserve">study</w:t>
        </w:r>
      </w:hyperlink>
      <w:r w:rsidDel="00000000" w:rsidR="00000000" w:rsidRPr="00000000">
        <w:rPr>
          <w:rFonts w:ascii="Times New Roman" w:cs="Times New Roman" w:eastAsia="Times New Roman" w:hAnsi="Times New Roman"/>
          <w:sz w:val="28"/>
          <w:szCs w:val="28"/>
          <w:rtl w:val="0"/>
        </w:rPr>
        <w:t xml:space="preserve"> published in the Journal of the American Medical Association reported a 4.9 increase in users completing no-cost ACPs between 2019 and 2020. However, the broader population trend of low ACP completion persists: only </w:t>
      </w:r>
      <w:r w:rsidDel="00000000" w:rsidR="00000000" w:rsidRPr="00000000">
        <w:rPr>
          <w:rFonts w:ascii="Times New Roman" w:cs="Times New Roman" w:eastAsia="Times New Roman" w:hAnsi="Times New Roman"/>
          <w:sz w:val="28"/>
          <w:szCs w:val="28"/>
          <w:rtl w:val="0"/>
        </w:rPr>
        <w:t xml:space="preserve">44 percent </w:t>
      </w:r>
      <w:r w:rsidDel="00000000" w:rsidR="00000000" w:rsidRPr="00000000">
        <w:rPr>
          <w:rFonts w:ascii="Times New Roman" w:cs="Times New Roman" w:eastAsia="Times New Roman" w:hAnsi="Times New Roman"/>
          <w:sz w:val="28"/>
          <w:szCs w:val="28"/>
          <w:rtl w:val="0"/>
        </w:rPr>
        <w:t xml:space="preserve">of elderly U.S. adults have completed forms, and this figure is as low as 5 percent in France’s </w:t>
      </w:r>
      <w:hyperlink r:id="rId21">
        <w:r w:rsidDel="00000000" w:rsidR="00000000" w:rsidRPr="00000000">
          <w:rPr>
            <w:rFonts w:ascii="Times New Roman" w:cs="Times New Roman" w:eastAsia="Times New Roman" w:hAnsi="Times New Roman"/>
            <w:color w:val="1155cc"/>
            <w:sz w:val="28"/>
            <w:szCs w:val="28"/>
            <w:u w:val="single"/>
            <w:rtl w:val="0"/>
          </w:rPr>
          <w:t xml:space="preserve">total adult population</w:t>
        </w:r>
      </w:hyperlink>
      <w:r w:rsidDel="00000000" w:rsidR="00000000" w:rsidRPr="00000000">
        <w:rPr>
          <w:rFonts w:ascii="Times New Roman" w:cs="Times New Roman" w:eastAsia="Times New Roman" w:hAnsi="Times New Roman"/>
          <w:sz w:val="28"/>
          <w:szCs w:val="28"/>
          <w:rtl w:val="0"/>
        </w:rPr>
        <w:t xml:space="preserve">, according to a 2024 study published in the Journal of the American Geriatrics Society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consequential indicator identified communication as a key component of death-readiness. According to </w:t>
      </w:r>
      <w:hyperlink r:id="rId22">
        <w:r w:rsidDel="00000000" w:rsidR="00000000" w:rsidRPr="00000000">
          <w:rPr>
            <w:rFonts w:ascii="Times New Roman" w:cs="Times New Roman" w:eastAsia="Times New Roman" w:hAnsi="Times New Roman"/>
            <w:color w:val="1155cc"/>
            <w:sz w:val="28"/>
            <w:szCs w:val="28"/>
            <w:u w:val="single"/>
            <w:rtl w:val="0"/>
          </w:rPr>
          <w:t xml:space="preserve">The Conversation Project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92 percent of Americans believe it is important to discuss their end-of-life care wishes. Still, only 32 percent have taken steps to ensure these conversations occur.</w:t>
      </w:r>
    </w:p>
    <w:p w:rsidR="00000000" w:rsidDel="00000000" w:rsidP="00000000" w:rsidRDefault="00000000" w:rsidRPr="00000000" w14:paraId="00000017">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Chasing Immortality</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why does death denial persist even in light of the universality of the experience and, as explored later, the overwhelming</w:t>
      </w:r>
      <w:r w:rsidDel="00000000" w:rsidR="00000000" w:rsidRPr="00000000">
        <w:rPr>
          <w:rFonts w:ascii="Times New Roman" w:cs="Times New Roman" w:eastAsia="Times New Roman" w:hAnsi="Times New Roman"/>
          <w:sz w:val="28"/>
          <w:szCs w:val="28"/>
          <w:rtl w:val="0"/>
        </w:rPr>
        <w:t xml:space="preserve"> societal costs associated</w:t>
      </w:r>
      <w:r w:rsidDel="00000000" w:rsidR="00000000" w:rsidRPr="00000000">
        <w:rPr>
          <w:rFonts w:ascii="Times New Roman" w:cs="Times New Roman" w:eastAsia="Times New Roman" w:hAnsi="Times New Roman"/>
          <w:sz w:val="28"/>
          <w:szCs w:val="28"/>
          <w:rtl w:val="0"/>
        </w:rPr>
        <w:t xml:space="preserve"> with it?</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valid response can be found in </w:t>
      </w:r>
      <w:r w:rsidDel="00000000" w:rsidR="00000000" w:rsidRPr="00000000">
        <w:rPr>
          <w:rFonts w:ascii="Times New Roman" w:cs="Times New Roman" w:eastAsia="Times New Roman" w:hAnsi="Times New Roman"/>
          <w:sz w:val="28"/>
          <w:szCs w:val="28"/>
          <w:rtl w:val="0"/>
        </w:rPr>
        <w:t xml:space="preserve">Ernest Becker’s</w:t>
      </w:r>
      <w:r w:rsidDel="00000000" w:rsidR="00000000" w:rsidRPr="00000000">
        <w:rPr>
          <w:rFonts w:ascii="Times New Roman" w:cs="Times New Roman" w:eastAsia="Times New Roman" w:hAnsi="Times New Roman"/>
          <w:sz w:val="28"/>
          <w:szCs w:val="28"/>
          <w:rtl w:val="0"/>
        </w:rPr>
        <w:t xml:space="preserve"> 1973 book </w:t>
      </w:r>
      <w:hyperlink r:id="rId23">
        <w:r w:rsidDel="00000000" w:rsidR="00000000" w:rsidRPr="00000000">
          <w:rPr>
            <w:rFonts w:ascii="Times New Roman" w:cs="Times New Roman" w:eastAsia="Times New Roman" w:hAnsi="Times New Roman"/>
            <w:i w:val="1"/>
            <w:iCs w:val="1"/>
            <w:color w:val="1155cc"/>
            <w:sz w:val="28"/>
            <w:szCs w:val="28"/>
            <w:u w:val="single"/>
            <w:rtl w:val="0"/>
          </w:rPr>
          <w:t xml:space="preserve">The Denial of Death</w:t>
        </w:r>
      </w:hyperlink>
      <w:r w:rsidDel="00000000" w:rsidR="00000000" w:rsidRPr="00000000">
        <w:rPr>
          <w:rFonts w:ascii="Times New Roman" w:cs="Times New Roman" w:eastAsia="Times New Roman" w:hAnsi="Times New Roman"/>
          <w:sz w:val="28"/>
          <w:szCs w:val="28"/>
          <w:rtl w:val="0"/>
        </w:rPr>
        <w:t xml:space="preserve">. In it, he attests, “[T]he essence of normality is the </w:t>
      </w:r>
      <w:r w:rsidDel="00000000" w:rsidR="00000000" w:rsidRPr="00000000">
        <w:rPr>
          <w:rFonts w:ascii="Times New Roman" w:cs="Times New Roman" w:eastAsia="Times New Roman" w:hAnsi="Times New Roman"/>
          <w:i w:val="1"/>
          <w:iCs w:val="1"/>
          <w:sz w:val="28"/>
          <w:szCs w:val="28"/>
          <w:rtl w:val="0"/>
        </w:rPr>
        <w:t xml:space="preserve">refusal of reality</w:t>
      </w:r>
      <w:r w:rsidDel="00000000" w:rsidR="00000000" w:rsidRPr="00000000">
        <w:rPr>
          <w:rFonts w:ascii="Times New Roman" w:cs="Times New Roman" w:eastAsia="Times New Roman" w:hAnsi="Times New Roman"/>
          <w:sz w:val="28"/>
          <w:szCs w:val="28"/>
          <w:rtl w:val="0"/>
        </w:rPr>
        <w:t xml:space="preserve">,” implying that the average person simply cannot tolerate thoughts of their eventual demise. This premise is also the underlying tenet for the </w:t>
      </w:r>
      <w:hyperlink r:id="rId24">
        <w:r w:rsidDel="00000000" w:rsidR="00000000" w:rsidRPr="00000000">
          <w:rPr>
            <w:rFonts w:ascii="Times New Roman" w:cs="Times New Roman" w:eastAsia="Times New Roman" w:hAnsi="Times New Roman"/>
            <w:color w:val="1155cc"/>
            <w:sz w:val="28"/>
            <w:szCs w:val="28"/>
            <w:u w:val="single"/>
            <w:rtl w:val="0"/>
          </w:rPr>
          <w:t xml:space="preserve">Terror Management Theory</w:t>
        </w:r>
      </w:hyperlink>
      <w:r w:rsidDel="00000000" w:rsidR="00000000" w:rsidRPr="00000000">
        <w:rPr>
          <w:rFonts w:ascii="Times New Roman" w:cs="Times New Roman" w:eastAsia="Times New Roman" w:hAnsi="Times New Roman"/>
          <w:sz w:val="28"/>
          <w:szCs w:val="28"/>
          <w:rtl w:val="0"/>
        </w:rPr>
        <w:t xml:space="preserve">, which suggests that individuals subconsciously “manage” the idea of death, often through ideology. In other words, to soften the anxiety of one’s finitude, people structure their behaviors and worldview around the promise of symbolic or literal immortality. While the concept may sound abstract and intellectual, it’s likely something you have experienced firsthand.</w:t>
      </w:r>
    </w:p>
    <w:p w:rsidR="00000000" w:rsidDel="00000000" w:rsidP="00000000" w:rsidRDefault="00000000" w:rsidRPr="00000000" w14:paraId="0000001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concept of </w:t>
      </w:r>
      <w:hyperlink r:id="rId25">
        <w:r w:rsidDel="00000000" w:rsidR="00000000" w:rsidRPr="00000000">
          <w:rPr>
            <w:rFonts w:ascii="Times New Roman" w:cs="Times New Roman" w:eastAsia="Times New Roman" w:hAnsi="Times New Roman"/>
            <w:color w:val="1155cc"/>
            <w:sz w:val="28"/>
            <w:szCs w:val="28"/>
            <w:u w:val="single"/>
            <w:rtl w:val="0"/>
          </w:rPr>
          <w:t xml:space="preserve">symbolic immortality</w:t>
        </w:r>
      </w:hyperlink>
      <w:r w:rsidDel="00000000" w:rsidR="00000000" w:rsidRPr="00000000">
        <w:rPr>
          <w:rFonts w:ascii="Times New Roman" w:cs="Times New Roman" w:eastAsia="Times New Roman" w:hAnsi="Times New Roman"/>
          <w:sz w:val="28"/>
          <w:szCs w:val="28"/>
          <w:rtl w:val="0"/>
        </w:rPr>
        <w:t xml:space="preserve"> considers that some essence of a person’s core values will outlast </w:t>
      </w:r>
      <w:r w:rsidDel="00000000" w:rsidR="00000000" w:rsidRPr="00000000">
        <w:rPr>
          <w:rFonts w:ascii="Times New Roman" w:cs="Times New Roman" w:eastAsia="Times New Roman" w:hAnsi="Times New Roman"/>
          <w:sz w:val="28"/>
          <w:szCs w:val="28"/>
          <w:rtl w:val="0"/>
        </w:rPr>
        <w:t xml:space="preserve">their</w:t>
      </w:r>
      <w:r w:rsidDel="00000000" w:rsidR="00000000" w:rsidRPr="00000000">
        <w:rPr>
          <w:rFonts w:ascii="Times New Roman" w:cs="Times New Roman" w:eastAsia="Times New Roman" w:hAnsi="Times New Roman"/>
          <w:sz w:val="28"/>
          <w:szCs w:val="28"/>
          <w:rtl w:val="0"/>
        </w:rPr>
        <w:t xml:space="preserve"> lifetime. Whether this materializes through workplace mentoring, social charity, or family traditions passed down by one’s parents, symbolic immortality ensures </w:t>
      </w:r>
      <w:r w:rsidDel="00000000" w:rsidR="00000000" w:rsidRPr="00000000">
        <w:rPr>
          <w:rFonts w:ascii="Times New Roman" w:cs="Times New Roman" w:eastAsia="Times New Roman" w:hAnsi="Times New Roman"/>
          <w:sz w:val="28"/>
          <w:szCs w:val="28"/>
          <w:rtl w:val="0"/>
        </w:rPr>
        <w:t xml:space="preserve">that </w:t>
      </w:r>
      <w:r w:rsidDel="00000000" w:rsidR="00000000" w:rsidRPr="00000000">
        <w:rPr>
          <w:rFonts w:ascii="Times New Roman" w:cs="Times New Roman" w:eastAsia="Times New Roman" w:hAnsi="Times New Roman"/>
          <w:sz w:val="28"/>
          <w:szCs w:val="28"/>
          <w:rtl w:val="0"/>
        </w:rPr>
        <w:t xml:space="preserve">the impact a person made in life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is eternalized in their</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legacy.</w:t>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the other hand, </w:t>
      </w:r>
      <w:hyperlink r:id="rId26">
        <w:r w:rsidDel="00000000" w:rsidR="00000000" w:rsidRPr="00000000">
          <w:rPr>
            <w:rFonts w:ascii="Times New Roman" w:cs="Times New Roman" w:eastAsia="Times New Roman" w:hAnsi="Times New Roman"/>
            <w:color w:val="1155cc"/>
            <w:sz w:val="28"/>
            <w:szCs w:val="28"/>
            <w:u w:val="single"/>
            <w:rtl w:val="0"/>
          </w:rPr>
          <w:t xml:space="preserve">literal immortality</w:t>
        </w:r>
      </w:hyperlink>
      <w:r w:rsidDel="00000000" w:rsidR="00000000" w:rsidRPr="00000000">
        <w:rPr>
          <w:rFonts w:ascii="Times New Roman" w:cs="Times New Roman" w:eastAsia="Times New Roman" w:hAnsi="Times New Roman"/>
          <w:sz w:val="28"/>
          <w:szCs w:val="28"/>
          <w:rtl w:val="0"/>
        </w:rPr>
        <w:t xml:space="preserve"> embraces the belief that the </w:t>
      </w:r>
      <w:hyperlink r:id="rId27">
        <w:r w:rsidDel="00000000" w:rsidR="00000000" w:rsidRPr="00000000">
          <w:rPr>
            <w:rFonts w:ascii="Times New Roman" w:cs="Times New Roman" w:eastAsia="Times New Roman" w:hAnsi="Times New Roman"/>
            <w:color w:val="1155cc"/>
            <w:sz w:val="28"/>
            <w:szCs w:val="28"/>
            <w:u w:val="single"/>
            <w:rtl w:val="0"/>
          </w:rPr>
          <w:t xml:space="preserve">soul continues</w:t>
        </w:r>
      </w:hyperlink>
      <w:r w:rsidDel="00000000" w:rsidR="00000000" w:rsidRPr="00000000">
        <w:rPr>
          <w:rFonts w:ascii="Times New Roman" w:cs="Times New Roman" w:eastAsia="Times New Roman" w:hAnsi="Times New Roman"/>
          <w:sz w:val="28"/>
          <w:szCs w:val="28"/>
          <w:rtl w:val="0"/>
        </w:rPr>
        <w:t xml:space="preserve"> past one’s corporal death or that death itself can be overcome. </w:t>
      </w:r>
      <w:r w:rsidDel="00000000" w:rsidR="00000000" w:rsidRPr="00000000">
        <w:rPr>
          <w:rFonts w:ascii="Times New Roman" w:cs="Times New Roman" w:eastAsia="Times New Roman" w:hAnsi="Times New Roman"/>
          <w:sz w:val="28"/>
          <w:szCs w:val="28"/>
          <w:rtl w:val="0"/>
        </w:rPr>
        <w:t xml:space="preserve">Numerous</w:t>
      </w:r>
      <w:r w:rsidDel="00000000" w:rsidR="00000000" w:rsidRPr="00000000">
        <w:rPr>
          <w:rFonts w:ascii="Times New Roman" w:cs="Times New Roman" w:eastAsia="Times New Roman" w:hAnsi="Times New Roman"/>
          <w:sz w:val="28"/>
          <w:szCs w:val="28"/>
          <w:rtl w:val="0"/>
        </w:rPr>
        <w:t xml:space="preserve"> examples of the prior </w:t>
      </w:r>
      <w:r w:rsidDel="00000000" w:rsidR="00000000" w:rsidRPr="00000000">
        <w:rPr>
          <w:rFonts w:ascii="Times New Roman" w:cs="Times New Roman" w:eastAsia="Times New Roman" w:hAnsi="Times New Roman"/>
          <w:sz w:val="28"/>
          <w:szCs w:val="28"/>
          <w:rtl w:val="0"/>
        </w:rPr>
        <w:t xml:space="preserve">can be found throughout history</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sz w:val="28"/>
          <w:szCs w:val="28"/>
          <w:rtl w:val="0"/>
        </w:rPr>
        <w:t xml:space="preserve">across various religions</w:t>
      </w:r>
      <w:r w:rsidDel="00000000" w:rsidR="00000000" w:rsidRPr="00000000">
        <w:rPr>
          <w:rFonts w:ascii="Times New Roman" w:cs="Times New Roman" w:eastAsia="Times New Roman" w:hAnsi="Times New Roman"/>
          <w:sz w:val="28"/>
          <w:szCs w:val="28"/>
          <w:rtl w:val="0"/>
        </w:rPr>
        <w:t xml:space="preserve">. The ancient Egyptians went to great lengths to prepare bodies for what they anticipated was a very active afterlife. In Christianity, one’s existence is believed to persist in </w:t>
      </w:r>
      <w:r w:rsidDel="00000000" w:rsidR="00000000" w:rsidRPr="00000000">
        <w:rPr>
          <w:rFonts w:ascii="Times New Roman" w:cs="Times New Roman" w:eastAsia="Times New Roman" w:hAnsi="Times New Roman"/>
          <w:sz w:val="28"/>
          <w:szCs w:val="28"/>
          <w:rtl w:val="0"/>
        </w:rPr>
        <w:t xml:space="preserve">heaven or hell</w:t>
      </w:r>
      <w:r w:rsidDel="00000000" w:rsidR="00000000" w:rsidRPr="00000000">
        <w:rPr>
          <w:rFonts w:ascii="Times New Roman" w:cs="Times New Roman" w:eastAsia="Times New Roman" w:hAnsi="Times New Roman"/>
          <w:sz w:val="28"/>
          <w:szCs w:val="28"/>
          <w:rtl w:val="0"/>
        </w:rPr>
        <w:t xml:space="preserve">. Interestingly</w:t>
      </w:r>
      <w:r w:rsidDel="00000000" w:rsidR="00000000" w:rsidRPr="00000000">
        <w:rPr>
          <w:rFonts w:ascii="Times New Roman" w:cs="Times New Roman" w:eastAsia="Times New Roman" w:hAnsi="Times New Roman"/>
          <w:sz w:val="28"/>
          <w:szCs w:val="28"/>
          <w:rtl w:val="0"/>
        </w:rPr>
        <w:t xml:space="preserve">, a 2023 Pew Research Center survey found that belief in heaven extends to 71 percent of the </w:t>
      </w:r>
      <w:hyperlink r:id="rId28">
        <w:r w:rsidDel="00000000" w:rsidR="00000000" w:rsidRPr="00000000">
          <w:rPr>
            <w:rFonts w:ascii="Times New Roman" w:cs="Times New Roman" w:eastAsia="Times New Roman" w:hAnsi="Times New Roman"/>
            <w:color w:val="1155cc"/>
            <w:sz w:val="28"/>
            <w:szCs w:val="28"/>
            <w:u w:val="single"/>
            <w:rtl w:val="0"/>
          </w:rPr>
          <w:t xml:space="preserve">American population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approximately</w:t>
      </w:r>
      <w:r w:rsidDel="00000000" w:rsidR="00000000" w:rsidRPr="00000000">
        <w:rPr>
          <w:rFonts w:ascii="Times New Roman" w:cs="Times New Roman" w:eastAsia="Times New Roman" w:hAnsi="Times New Roman"/>
          <w:sz w:val="28"/>
          <w:szCs w:val="28"/>
          <w:rtl w:val="0"/>
        </w:rPr>
        <w:t xml:space="preserve"> 9 percent more than the reported size of the </w:t>
      </w:r>
      <w:hyperlink r:id="rId29">
        <w:r w:rsidDel="00000000" w:rsidR="00000000" w:rsidRPr="00000000">
          <w:rPr>
            <w:rFonts w:ascii="Times New Roman" w:cs="Times New Roman" w:eastAsia="Times New Roman" w:hAnsi="Times New Roman"/>
            <w:color w:val="1155cc"/>
            <w:sz w:val="28"/>
            <w:szCs w:val="28"/>
            <w:u w:val="single"/>
            <w:rtl w:val="0"/>
          </w:rPr>
          <w:t xml:space="preserve">Christian population</w:t>
        </w:r>
      </w:hyperlink>
      <w:r w:rsidDel="00000000" w:rsidR="00000000" w:rsidRPr="00000000">
        <w:rPr>
          <w:rFonts w:ascii="Times New Roman" w:cs="Times New Roman" w:eastAsia="Times New Roman" w:hAnsi="Times New Roman"/>
          <w:sz w:val="28"/>
          <w:szCs w:val="28"/>
          <w:rtl w:val="0"/>
        </w:rPr>
        <w:t xml:space="preserve">. Moreover, Hindu tradition honors the concept of reincarnation, while Buddhist beliefs hold that rebirth is perpetual and guided by karma.</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when religious ideology doesn’t quite meet one’s preferences, the promise of eternity can be found via alternative prognosticators. For example, the scientific revolution of the 21st century and the collective experience of </w:t>
      </w:r>
      <w:hyperlink r:id="rId30">
        <w:r w:rsidDel="00000000" w:rsidR="00000000" w:rsidRPr="00000000">
          <w:rPr>
            <w:rFonts w:ascii="Times New Roman" w:cs="Times New Roman" w:eastAsia="Times New Roman" w:hAnsi="Times New Roman"/>
            <w:color w:val="1155cc"/>
            <w:sz w:val="28"/>
            <w:szCs w:val="28"/>
            <w:u w:val="single"/>
            <w:rtl w:val="0"/>
          </w:rPr>
          <w:t xml:space="preserve">Ray Kurzweil’s “Law of Accelerating Returns”</w:t>
        </w:r>
      </w:hyperlink>
      <w:r w:rsidDel="00000000" w:rsidR="00000000" w:rsidRPr="00000000">
        <w:rPr>
          <w:rFonts w:ascii="Times New Roman" w:cs="Times New Roman" w:eastAsia="Times New Roman" w:hAnsi="Times New Roman"/>
          <w:sz w:val="28"/>
          <w:szCs w:val="28"/>
          <w:rtl w:val="0"/>
        </w:rPr>
        <w:t xml:space="preserve">—which posits that technological advancements develop at an exponential, rather than linear, rate—</w:t>
      </w:r>
      <w:r w:rsidDel="00000000" w:rsidR="00000000" w:rsidRPr="00000000">
        <w:rPr>
          <w:rFonts w:ascii="Times New Roman" w:cs="Times New Roman" w:eastAsia="Times New Roman" w:hAnsi="Times New Roman"/>
          <w:sz w:val="28"/>
          <w:szCs w:val="28"/>
          <w:rtl w:val="0"/>
        </w:rPr>
        <w:t xml:space="preserve">have helped spur beliefs in</w:t>
      </w:r>
      <w:r w:rsidDel="00000000" w:rsidR="00000000" w:rsidRPr="00000000">
        <w:rPr>
          <w:rFonts w:ascii="Times New Roman" w:cs="Times New Roman" w:eastAsia="Times New Roman" w:hAnsi="Times New Roman"/>
          <w:sz w:val="28"/>
          <w:szCs w:val="28"/>
          <w:rtl w:val="0"/>
        </w:rPr>
        <w:t xml:space="preserve"> </w:t>
      </w:r>
      <w:hyperlink r:id="rId31">
        <w:r w:rsidDel="00000000" w:rsidR="00000000" w:rsidRPr="00000000">
          <w:rPr>
            <w:rFonts w:ascii="Times New Roman" w:cs="Times New Roman" w:eastAsia="Times New Roman" w:hAnsi="Times New Roman"/>
            <w:color w:val="1155cc"/>
            <w:sz w:val="28"/>
            <w:szCs w:val="28"/>
            <w:u w:val="single"/>
            <w:rtl w:val="0"/>
          </w:rPr>
          <w:t xml:space="preserve">cryonics</w:t>
        </w:r>
      </w:hyperlink>
      <w:r w:rsidDel="00000000" w:rsidR="00000000" w:rsidRPr="00000000">
        <w:rPr>
          <w:rFonts w:ascii="Times New Roman" w:cs="Times New Roman" w:eastAsia="Times New Roman" w:hAnsi="Times New Roman"/>
          <w:sz w:val="28"/>
          <w:szCs w:val="28"/>
          <w:rtl w:val="0"/>
        </w:rPr>
        <w:t xml:space="preserve">, among other bionic promises of limitless lifespans.</w:t>
      </w:r>
      <w:r w:rsidDel="00000000" w:rsidR="00000000" w:rsidRPr="00000000">
        <w:rPr>
          <w:rtl w:val="0"/>
        </w:rPr>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of the literal immortality ilk is the transhumanist movement, a philosophy built on the </w:t>
      </w:r>
      <w:r w:rsidDel="00000000" w:rsidR="00000000" w:rsidRPr="00000000">
        <w:rPr>
          <w:rFonts w:ascii="Times New Roman" w:cs="Times New Roman" w:eastAsia="Times New Roman" w:hAnsi="Times New Roman"/>
          <w:sz w:val="28"/>
          <w:szCs w:val="28"/>
          <w:rtl w:val="0"/>
        </w:rPr>
        <w:t xml:space="preserve">premise</w:t>
      </w:r>
      <w:r w:rsidDel="00000000" w:rsidR="00000000" w:rsidRPr="00000000">
        <w:rPr>
          <w:rFonts w:ascii="Times New Roman" w:cs="Times New Roman" w:eastAsia="Times New Roman" w:hAnsi="Times New Roman"/>
          <w:sz w:val="28"/>
          <w:szCs w:val="28"/>
          <w:rtl w:val="0"/>
        </w:rPr>
        <w:t xml:space="preserve"> that the human condition can be enhanced by </w:t>
      </w:r>
      <w:r w:rsidDel="00000000" w:rsidR="00000000" w:rsidRPr="00000000">
        <w:rPr>
          <w:rFonts w:ascii="Times New Roman" w:cs="Times New Roman" w:eastAsia="Times New Roman" w:hAnsi="Times New Roman"/>
          <w:sz w:val="28"/>
          <w:szCs w:val="28"/>
          <w:rtl w:val="0"/>
        </w:rPr>
        <w:t xml:space="preserve">overcoming</w:t>
      </w:r>
      <w:r w:rsidDel="00000000" w:rsidR="00000000" w:rsidRPr="00000000">
        <w:rPr>
          <w:rFonts w:ascii="Times New Roman" w:cs="Times New Roman" w:eastAsia="Times New Roman" w:hAnsi="Times New Roman"/>
          <w:sz w:val="28"/>
          <w:szCs w:val="28"/>
          <w:rtl w:val="0"/>
        </w:rPr>
        <w:t xml:space="preserve"> biological constraints </w:t>
      </w:r>
      <w:r w:rsidDel="00000000" w:rsidR="00000000" w:rsidRPr="00000000">
        <w:rPr>
          <w:rFonts w:ascii="Times New Roman" w:cs="Times New Roman" w:eastAsia="Times New Roman" w:hAnsi="Times New Roman"/>
          <w:sz w:val="28"/>
          <w:szCs w:val="28"/>
          <w:rtl w:val="0"/>
        </w:rPr>
        <w:t xml:space="preserve">through the use of</w:t>
      </w:r>
      <w:r w:rsidDel="00000000" w:rsidR="00000000" w:rsidRPr="00000000">
        <w:rPr>
          <w:rFonts w:ascii="Times New Roman" w:cs="Times New Roman" w:eastAsia="Times New Roman" w:hAnsi="Times New Roman"/>
          <w:sz w:val="28"/>
          <w:szCs w:val="28"/>
          <w:rtl w:val="0"/>
        </w:rPr>
        <w:t xml:space="preserve"> technology. Supporters of this </w:t>
      </w:r>
      <w:hyperlink r:id="rId32">
        <w:r w:rsidDel="00000000" w:rsidR="00000000" w:rsidRPr="00000000">
          <w:rPr>
            <w:rFonts w:ascii="Times New Roman" w:cs="Times New Roman" w:eastAsia="Times New Roman" w:hAnsi="Times New Roman"/>
            <w:color w:val="1155cc"/>
            <w:sz w:val="28"/>
            <w:szCs w:val="28"/>
            <w:u w:val="single"/>
            <w:rtl w:val="0"/>
          </w:rPr>
          <w:t xml:space="preserve">techno-futurist</w:t>
        </w:r>
      </w:hyperlink>
      <w:r w:rsidDel="00000000" w:rsidR="00000000" w:rsidRPr="00000000">
        <w:rPr>
          <w:rFonts w:ascii="Times New Roman" w:cs="Times New Roman" w:eastAsia="Times New Roman" w:hAnsi="Times New Roman"/>
          <w:sz w:val="28"/>
          <w:szCs w:val="28"/>
          <w:rtl w:val="0"/>
        </w:rPr>
        <w:t xml:space="preserve"> human potential include some of Silicon Valley’s most recognizable figures.</w:t>
      </w:r>
    </w:p>
    <w:p w:rsidR="00000000" w:rsidDel="00000000" w:rsidP="00000000" w:rsidRDefault="00000000" w:rsidRPr="00000000" w14:paraId="0000001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Through these numerous manifestations of both symbolic and literal immortality, humans can walk the psychological tightrope of knowing that we’re mortal without becoming paralyzed by the dread of such truth. However, these concepts are not the only way forward, nor are they necessarily the most</w:t>
      </w:r>
      <w:r w:rsidDel="00000000" w:rsidR="00000000" w:rsidRPr="00000000">
        <w:rPr>
          <w:rFonts w:ascii="Times New Roman" w:cs="Times New Roman" w:eastAsia="Times New Roman" w:hAnsi="Times New Roman"/>
          <w:sz w:val="28"/>
          <w:szCs w:val="28"/>
          <w:rtl w:val="0"/>
        </w:rPr>
        <w:t xml:space="preserve"> productive views to adopt.</w:t>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Tangible Consequences of Death Denial</w:t>
      </w:r>
      <w:r w:rsidDel="00000000" w:rsidR="00000000" w:rsidRPr="00000000">
        <w:rPr>
          <w:rtl w:val="0"/>
        </w:rPr>
      </w:r>
    </w:p>
    <w:p w:rsidR="00000000" w:rsidDel="00000000" w:rsidP="00000000" w:rsidRDefault="00000000" w:rsidRPr="00000000" w14:paraId="0000002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Between the popular six degrees of separation theory and our digital connectiveness, misfortune is unavoidable. However, being </w:t>
      </w:r>
      <w:r w:rsidDel="00000000" w:rsidR="00000000" w:rsidRPr="00000000">
        <w:rPr>
          <w:rFonts w:ascii="Times New Roman" w:cs="Times New Roman" w:eastAsia="Times New Roman" w:hAnsi="Times New Roman"/>
          <w:sz w:val="28"/>
          <w:szCs w:val="28"/>
          <w:rtl w:val="0"/>
        </w:rPr>
        <w:t xml:space="preserve">unprepared</w:t>
      </w:r>
      <w:r w:rsidDel="00000000" w:rsidR="00000000" w:rsidRPr="00000000">
        <w:rPr>
          <w:rFonts w:ascii="Times New Roman" w:cs="Times New Roman" w:eastAsia="Times New Roman" w:hAnsi="Times New Roman"/>
          <w:sz w:val="28"/>
          <w:szCs w:val="28"/>
          <w:rtl w:val="0"/>
        </w:rPr>
        <w:t xml:space="preserve"> for death has profound, adverse effects on the living.</w:t>
      </w:r>
    </w:p>
    <w:p w:rsidR="00000000" w:rsidDel="00000000" w:rsidP="00000000" w:rsidRDefault="00000000" w:rsidRPr="00000000" w14:paraId="0000002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 </w:t>
      </w:r>
      <w:r w:rsidDel="00000000" w:rsidR="00000000" w:rsidRPr="00000000">
        <w:rPr>
          <w:rFonts w:ascii="Times New Roman" w:cs="Times New Roman" w:eastAsia="Times New Roman" w:hAnsi="Times New Roman"/>
          <w:sz w:val="28"/>
          <w:szCs w:val="28"/>
          <w:rtl w:val="0"/>
        </w:rPr>
        <w:t xml:space="preserve">numerous</w:t>
      </w:r>
      <w:r w:rsidDel="00000000" w:rsidR="00000000" w:rsidRPr="00000000">
        <w:rPr>
          <w:rFonts w:ascii="Times New Roman" w:cs="Times New Roman" w:eastAsia="Times New Roman" w:hAnsi="Times New Roman"/>
          <w:sz w:val="28"/>
          <w:szCs w:val="28"/>
          <w:rtl w:val="0"/>
        </w:rPr>
        <w:t xml:space="preserve"> examples of how avoidance has had </w:t>
      </w:r>
      <w:r w:rsidDel="00000000" w:rsidR="00000000" w:rsidRPr="00000000">
        <w:rPr>
          <w:rFonts w:ascii="Times New Roman" w:cs="Times New Roman" w:eastAsia="Times New Roman" w:hAnsi="Times New Roman"/>
          <w:sz w:val="28"/>
          <w:szCs w:val="28"/>
          <w:rtl w:val="0"/>
        </w:rPr>
        <w:t xml:space="preserve">devastating</w:t>
      </w:r>
      <w:r w:rsidDel="00000000" w:rsidR="00000000" w:rsidRPr="00000000">
        <w:rPr>
          <w:rFonts w:ascii="Times New Roman" w:cs="Times New Roman" w:eastAsia="Times New Roman" w:hAnsi="Times New Roman"/>
          <w:sz w:val="28"/>
          <w:szCs w:val="28"/>
          <w:rtl w:val="0"/>
        </w:rPr>
        <w:t xml:space="preserve"> impacts on families and loved ones, such as the sudden death of a</w:t>
      </w:r>
      <w:r w:rsidDel="00000000" w:rsidR="00000000" w:rsidRPr="00000000">
        <w:rPr>
          <w:rFonts w:ascii="Times New Roman" w:cs="Times New Roman" w:eastAsia="Times New Roman" w:hAnsi="Times New Roman"/>
          <w:sz w:val="28"/>
          <w:szCs w:val="28"/>
          <w:rtl w:val="0"/>
        </w:rPr>
        <w:t xml:space="preserve"> head of the household </w:t>
      </w:r>
      <w:r w:rsidDel="00000000" w:rsidR="00000000" w:rsidRPr="00000000">
        <w:rPr>
          <w:rFonts w:ascii="Times New Roman" w:cs="Times New Roman" w:eastAsia="Times New Roman" w:hAnsi="Times New Roman"/>
          <w:sz w:val="28"/>
          <w:szCs w:val="28"/>
          <w:rtl w:val="0"/>
        </w:rPr>
        <w:t xml:space="preserve">who died without a will or financial plan for their family, anguished family members struggling to make </w:t>
      </w:r>
      <w:r w:rsidDel="00000000" w:rsidR="00000000" w:rsidRPr="00000000">
        <w:rPr>
          <w:rFonts w:ascii="Times New Roman" w:cs="Times New Roman" w:eastAsia="Times New Roman" w:hAnsi="Times New Roman"/>
          <w:sz w:val="28"/>
          <w:szCs w:val="28"/>
          <w:rtl w:val="0"/>
        </w:rPr>
        <w:t xml:space="preserve">life-and-death </w:t>
      </w:r>
      <w:r w:rsidDel="00000000" w:rsidR="00000000" w:rsidRPr="00000000">
        <w:rPr>
          <w:rFonts w:ascii="Times New Roman" w:cs="Times New Roman" w:eastAsia="Times New Roman" w:hAnsi="Times New Roman"/>
          <w:sz w:val="28"/>
          <w:szCs w:val="28"/>
          <w:rtl w:val="0"/>
        </w:rPr>
        <w:t xml:space="preserve">medical decisions without guidance from an advance directive, and relationships torn apart following years of infighting over a family estate.</w:t>
      </w:r>
    </w:p>
    <w:p w:rsidR="00000000" w:rsidDel="00000000" w:rsidP="00000000" w:rsidRDefault="00000000" w:rsidRPr="00000000" w14:paraId="0000002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the rich and famous, who can afford teams of attorneys to draft complex estate plans, have faced similar situations due to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lack of planning. Picasso, Prince, Jimi Hendrix, and Kurt Cobain are just a </w:t>
      </w:r>
      <w:hyperlink r:id="rId33">
        <w:r w:rsidDel="00000000" w:rsidR="00000000" w:rsidRPr="00000000">
          <w:rPr>
            <w:rFonts w:ascii="Times New Roman" w:cs="Times New Roman" w:eastAsia="Times New Roman" w:hAnsi="Times New Roman"/>
            <w:color w:val="1155cc"/>
            <w:sz w:val="28"/>
            <w:szCs w:val="28"/>
            <w:u w:val="single"/>
            <w:rtl w:val="0"/>
          </w:rPr>
          <w:t xml:space="preserve">few celebrities</w:t>
        </w:r>
      </w:hyperlink>
      <w:r w:rsidDel="00000000" w:rsidR="00000000" w:rsidRPr="00000000">
        <w:rPr>
          <w:rFonts w:ascii="Times New Roman" w:cs="Times New Roman" w:eastAsia="Times New Roman" w:hAnsi="Times New Roman"/>
          <w:sz w:val="28"/>
          <w:szCs w:val="28"/>
          <w:rtl w:val="0"/>
        </w:rPr>
        <w:t xml:space="preserve"> whose unclear or absent estate planning ended in decades-long legal battles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2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doubt, the real-time consequences of death denial often </w:t>
      </w:r>
      <w:r w:rsidDel="00000000" w:rsidR="00000000" w:rsidRPr="00000000">
        <w:rPr>
          <w:rFonts w:ascii="Times New Roman" w:cs="Times New Roman" w:eastAsia="Times New Roman" w:hAnsi="Times New Roman"/>
          <w:sz w:val="28"/>
          <w:szCs w:val="28"/>
          <w:rtl w:val="0"/>
        </w:rPr>
        <w:t xml:space="preserve">add</w:t>
      </w:r>
      <w:r w:rsidDel="00000000" w:rsidR="00000000" w:rsidRPr="00000000">
        <w:rPr>
          <w:rFonts w:ascii="Times New Roman" w:cs="Times New Roman" w:eastAsia="Times New Roman" w:hAnsi="Times New Roman"/>
          <w:sz w:val="28"/>
          <w:szCs w:val="28"/>
          <w:rtl w:val="0"/>
        </w:rPr>
        <w:t xml:space="preserve"> unnecessary chaos and disruption for both individuals and their kinship networks, chosen or biological. </w:t>
      </w:r>
      <w:r w:rsidDel="00000000" w:rsidR="00000000" w:rsidRPr="00000000">
        <w:rPr>
          <w:rFonts w:ascii="Times New Roman" w:cs="Times New Roman" w:eastAsia="Times New Roman" w:hAnsi="Times New Roman"/>
          <w:sz w:val="28"/>
          <w:szCs w:val="28"/>
          <w:rtl w:val="0"/>
        </w:rPr>
        <w:t xml:space="preserve">Here are four key areas that shape end-of-life experiences for individuals and their care circles:</w:t>
      </w:r>
      <w:r w:rsidDel="00000000" w:rsidR="00000000" w:rsidRPr="00000000">
        <w:rPr>
          <w:rtl w:val="0"/>
        </w:rPr>
      </w:r>
    </w:p>
    <w:p w:rsidR="00000000" w:rsidDel="00000000" w:rsidP="00000000" w:rsidRDefault="00000000" w:rsidRPr="00000000" w14:paraId="00000024">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Lack of financial readiness</w:t>
      </w:r>
    </w:p>
    <w:p w:rsidR="00000000" w:rsidDel="00000000" w:rsidP="00000000" w:rsidRDefault="00000000" w:rsidRPr="00000000" w14:paraId="0000002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 the approximately 3 million Americans who die every year, a </w:t>
      </w:r>
      <w:hyperlink r:id="rId34">
        <w:r w:rsidDel="00000000" w:rsidR="00000000" w:rsidRPr="00000000">
          <w:rPr>
            <w:rFonts w:ascii="Times New Roman" w:cs="Times New Roman" w:eastAsia="Times New Roman" w:hAnsi="Times New Roman"/>
            <w:color w:val="1155cc"/>
            <w:sz w:val="28"/>
            <w:szCs w:val="28"/>
            <w:u w:val="single"/>
            <w:rtl w:val="0"/>
          </w:rPr>
          <w:t xml:space="preserve">majority</w:t>
        </w:r>
      </w:hyperlink>
      <w:r w:rsidDel="00000000" w:rsidR="00000000" w:rsidRPr="00000000">
        <w:rPr>
          <w:rFonts w:ascii="Times New Roman" w:cs="Times New Roman" w:eastAsia="Times New Roman" w:hAnsi="Times New Roman"/>
          <w:sz w:val="28"/>
          <w:szCs w:val="28"/>
          <w:rtl w:val="0"/>
        </w:rPr>
        <w:t xml:space="preserve"> are a result of diseases or </w:t>
      </w:r>
      <w:r w:rsidDel="00000000" w:rsidR="00000000" w:rsidRPr="00000000">
        <w:rPr>
          <w:rFonts w:ascii="Times New Roman" w:cs="Times New Roman" w:eastAsia="Times New Roman" w:hAnsi="Times New Roman"/>
          <w:sz w:val="28"/>
          <w:szCs w:val="28"/>
          <w:rtl w:val="0"/>
        </w:rPr>
        <w:t xml:space="preserve">conditions</w:t>
      </w:r>
      <w:r w:rsidDel="00000000" w:rsidR="00000000" w:rsidRPr="00000000">
        <w:rPr>
          <w:rFonts w:ascii="Times New Roman" w:cs="Times New Roman" w:eastAsia="Times New Roman" w:hAnsi="Times New Roman"/>
          <w:sz w:val="28"/>
          <w:szCs w:val="28"/>
          <w:rtl w:val="0"/>
        </w:rPr>
        <w:t xml:space="preserve"> typically involving physical decline, cognitive decline, or both, over time. Only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few people die instantaneously from cardiac arrest, work accidents, or the proverbial “getting hit by a bus.” This means most people will require supportive care ranging from a short hospital stay to complex care over several years.</w:t>
      </w:r>
    </w:p>
    <w:p w:rsidR="00000000" w:rsidDel="00000000" w:rsidP="00000000" w:rsidRDefault="00000000" w:rsidRPr="00000000" w14:paraId="0000002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median monthly cost for home health aide services in the U.S. was between</w:t>
      </w:r>
      <w:r w:rsidDel="00000000" w:rsidR="00000000" w:rsidRPr="00000000">
        <w:rPr>
          <w:rFonts w:ascii="Times New Roman" w:cs="Times New Roman" w:eastAsia="Times New Roman" w:hAnsi="Times New Roman"/>
          <w:sz w:val="28"/>
          <w:szCs w:val="28"/>
          <w:rtl w:val="0"/>
        </w:rPr>
        <w:t xml:space="preserve"> </w:t>
      </w:r>
      <w:hyperlink r:id="rId35">
        <w:r w:rsidDel="00000000" w:rsidR="00000000" w:rsidRPr="00000000">
          <w:rPr>
            <w:rFonts w:ascii="Times New Roman" w:cs="Times New Roman" w:eastAsia="Times New Roman" w:hAnsi="Times New Roman"/>
            <w:color w:val="1155cc"/>
            <w:sz w:val="28"/>
            <w:szCs w:val="28"/>
            <w:u w:val="single"/>
            <w:rtl w:val="0"/>
          </w:rPr>
          <w:t xml:space="preserve">$6,000 and $10,000</w:t>
        </w:r>
      </w:hyperlink>
      <w:r w:rsidDel="00000000" w:rsidR="00000000" w:rsidRPr="00000000">
        <w:rPr>
          <w:rFonts w:ascii="Times New Roman" w:cs="Times New Roman" w:eastAsia="Times New Roman" w:hAnsi="Times New Roman"/>
          <w:sz w:val="28"/>
          <w:szCs w:val="28"/>
          <w:rtl w:val="0"/>
        </w:rPr>
        <w:t xml:space="preserve"> in 2024 for a private room in a nursing facility. Without adequate financial planning, individuals can quickly become wholly dependent on social service providers, such as Medicare or Veterans Services, to determine the type of care they can access and for how long. Moreover, funerary and disposition expenses must also be considered, with median costs ranging from </w:t>
      </w:r>
      <w:hyperlink r:id="rId36">
        <w:r w:rsidDel="00000000" w:rsidR="00000000" w:rsidRPr="00000000">
          <w:rPr>
            <w:rFonts w:ascii="Times New Roman" w:cs="Times New Roman" w:eastAsia="Times New Roman" w:hAnsi="Times New Roman"/>
            <w:color w:val="1155cc"/>
            <w:sz w:val="28"/>
            <w:szCs w:val="28"/>
            <w:u w:val="single"/>
            <w:rtl w:val="0"/>
          </w:rPr>
          <w:t xml:space="preserve">$6,000 to $8,300</w:t>
        </w:r>
      </w:hyperlink>
      <w:r w:rsidDel="00000000" w:rsidR="00000000" w:rsidRPr="00000000">
        <w:rPr>
          <w:rFonts w:ascii="Times New Roman" w:cs="Times New Roman" w:eastAsia="Times New Roman" w:hAnsi="Times New Roman"/>
          <w:sz w:val="28"/>
          <w:szCs w:val="28"/>
          <w:rtl w:val="0"/>
        </w:rPr>
        <w:t xml:space="preserve"> in 2023, depending on the type of services secured. The average working-class family simply doesn’t have the resources to absorb such extensive out-of-pocket fees.</w:t>
      </w:r>
    </w:p>
    <w:p w:rsidR="00000000" w:rsidDel="00000000" w:rsidP="00000000" w:rsidRDefault="00000000" w:rsidRPr="00000000" w14:paraId="00000027">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Poor goals-of-care congruency</w:t>
      </w:r>
    </w:p>
    <w:p w:rsidR="00000000" w:rsidDel="00000000" w:rsidP="00000000" w:rsidRDefault="00000000" w:rsidRPr="00000000" w14:paraId="00000028">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The lack of clarity or failure to communicate what kind of care a person would like at the end of their life means that these important decisions will be entrusted to one’s family or health care professionals, and may not be what the person actually wanted. </w:t>
      </w:r>
      <w:r w:rsidDel="00000000" w:rsidR="00000000" w:rsidRPr="00000000">
        <w:rPr>
          <w:rFonts w:ascii="Times New Roman" w:cs="Times New Roman" w:eastAsia="Times New Roman" w:hAnsi="Times New Roman"/>
          <w:sz w:val="28"/>
          <w:szCs w:val="28"/>
          <w:highlight w:val="white"/>
          <w:rtl w:val="0"/>
        </w:rPr>
        <w:t xml:space="preserve">The</w:t>
      </w:r>
      <w:r w:rsidDel="00000000" w:rsidR="00000000" w:rsidRPr="00000000">
        <w:rPr>
          <w:rFonts w:ascii="Times New Roman" w:cs="Times New Roman" w:eastAsia="Times New Roman" w:hAnsi="Times New Roman"/>
          <w:sz w:val="28"/>
          <w:szCs w:val="28"/>
          <w:highlight w:val="white"/>
          <w:rtl w:val="0"/>
        </w:rPr>
        <w:t xml:space="preserve"> default modus operandi for the health care system is to heal, avoiding death through medical intervention.</w:t>
      </w:r>
      <w:r w:rsidDel="00000000" w:rsidR="00000000" w:rsidRPr="00000000">
        <w:rPr>
          <w:rFonts w:ascii="Times New Roman" w:cs="Times New Roman" w:eastAsia="Times New Roman" w:hAnsi="Times New Roman"/>
          <w:sz w:val="28"/>
          <w:szCs w:val="28"/>
          <w:highlight w:val="white"/>
          <w:rtl w:val="0"/>
        </w:rPr>
        <w:t xml:space="preserve"> Yet in a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global study</w:t>
        </w:r>
      </w:hyperlink>
      <w:r w:rsidDel="00000000" w:rsidR="00000000" w:rsidRPr="00000000">
        <w:rPr>
          <w:rFonts w:ascii="Times New Roman" w:cs="Times New Roman" w:eastAsia="Times New Roman" w:hAnsi="Times New Roman"/>
          <w:sz w:val="28"/>
          <w:szCs w:val="28"/>
          <w:highlight w:val="white"/>
          <w:rtl w:val="0"/>
        </w:rPr>
        <w:t xml:space="preserve"> of personal end-of-life care preferences published in the Journal of Medical Ethics, more than 1,100 physician respondents rarely considered life-sustaining treatments a good option. Clearly, not everyone wants every possible intervention to be used at every stage of life. This is why the effectiveness of </w:t>
      </w:r>
      <w:hyperlink r:id="rId38">
        <w:r w:rsidDel="00000000" w:rsidR="00000000" w:rsidRPr="00000000">
          <w:rPr>
            <w:rFonts w:ascii="Times New Roman" w:cs="Times New Roman" w:eastAsia="Times New Roman" w:hAnsi="Times New Roman"/>
            <w:color w:val="1155cc"/>
            <w:sz w:val="28"/>
            <w:szCs w:val="28"/>
            <w:u w:val="single"/>
            <w:rtl w:val="0"/>
          </w:rPr>
          <w:t xml:space="preserve">advance care planning</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depends on annual updates to </w:t>
      </w:r>
      <w:r w:rsidDel="00000000" w:rsidR="00000000" w:rsidRPr="00000000">
        <w:rPr>
          <w:rFonts w:ascii="Times New Roman" w:cs="Times New Roman" w:eastAsia="Times New Roman" w:hAnsi="Times New Roman"/>
          <w:sz w:val="28"/>
          <w:szCs w:val="28"/>
          <w:highlight w:val="white"/>
          <w:rtl w:val="0"/>
        </w:rPr>
        <w:t xml:space="preserve">reliably </w:t>
      </w:r>
      <w:r w:rsidDel="00000000" w:rsidR="00000000" w:rsidRPr="00000000">
        <w:rPr>
          <w:rFonts w:ascii="Times New Roman" w:cs="Times New Roman" w:eastAsia="Times New Roman" w:hAnsi="Times New Roman"/>
          <w:sz w:val="28"/>
          <w:szCs w:val="28"/>
          <w:highlight w:val="white"/>
          <w:rtl w:val="0"/>
        </w:rPr>
        <w:t xml:space="preserve">represent one’s quality-of-life objectives.</w:t>
      </w:r>
    </w:p>
    <w:p w:rsidR="00000000" w:rsidDel="00000000" w:rsidP="00000000" w:rsidRDefault="00000000" w:rsidRPr="00000000" w14:paraId="0000002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Increased caregiver burden</w:t>
      </w:r>
      <w:r w:rsidDel="00000000" w:rsidR="00000000" w:rsidRPr="00000000">
        <w:rPr>
          <w:rtl w:val="0"/>
        </w:rPr>
      </w:r>
    </w:p>
    <w:p w:rsidR="00000000" w:rsidDel="00000000" w:rsidP="00000000" w:rsidRDefault="00000000" w:rsidRPr="00000000" w14:paraId="0000002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caring for the ill and elderly can be deeply rewarding, family caregiving is not without challenges, particularly in Western cultures. According to</w:t>
      </w:r>
      <w:hyperlink r:id="rId39">
        <w:r w:rsidDel="00000000" w:rsidR="00000000" w:rsidRPr="00000000">
          <w:rPr>
            <w:rFonts w:ascii="Times New Roman" w:cs="Times New Roman" w:eastAsia="Times New Roman" w:hAnsi="Times New Roman"/>
            <w:sz w:val="28"/>
            <w:szCs w:val="28"/>
            <w:rtl w:val="0"/>
          </w:rPr>
          <w:t xml:space="preserve"> </w:t>
        </w:r>
      </w:hyperlink>
      <w:hyperlink r:id="rId40">
        <w:r w:rsidDel="00000000" w:rsidR="00000000" w:rsidRPr="00000000">
          <w:rPr>
            <w:rFonts w:ascii="Times New Roman" w:cs="Times New Roman" w:eastAsia="Times New Roman" w:hAnsi="Times New Roman"/>
            <w:color w:val="1155cc"/>
            <w:sz w:val="28"/>
            <w:szCs w:val="28"/>
            <w:u w:val="single"/>
            <w:rtl w:val="0"/>
          </w:rPr>
          <w:t xml:space="preserve">2025 data</w:t>
        </w:r>
      </w:hyperlink>
      <w:r w:rsidDel="00000000" w:rsidR="00000000" w:rsidRPr="00000000">
        <w:rPr>
          <w:rFonts w:ascii="Times New Roman" w:cs="Times New Roman" w:eastAsia="Times New Roman" w:hAnsi="Times New Roman"/>
          <w:sz w:val="28"/>
          <w:szCs w:val="28"/>
          <w:rtl w:val="0"/>
        </w:rPr>
        <w:t xml:space="preserve"> from AARP and the National Alliance for Caregiving, 59 million Americans are responsible for providing ongoing care to family members who are 18 years of age or older and have complex medical conditions. Notably, nearly 50 percent of caregivers reported financial strain, and one in four caregiver respondents provided more than 40 hours of care per week, despite 60 percent of them also juggling work with their caregiving responsibilities. Unfortunately, the caregiver’s burden, both financial and emotional, does not end with death. In contrast, when the impact of end-of-life is constructively woven into collectivist communities such as those of </w:t>
      </w:r>
      <w:hyperlink r:id="rId41">
        <w:r w:rsidDel="00000000" w:rsidR="00000000" w:rsidRPr="00000000">
          <w:rPr>
            <w:rFonts w:ascii="Times New Roman" w:cs="Times New Roman" w:eastAsia="Times New Roman" w:hAnsi="Times New Roman"/>
            <w:color w:val="1155cc"/>
            <w:sz w:val="28"/>
            <w:szCs w:val="28"/>
            <w:u w:val="single"/>
            <w:rtl w:val="0"/>
          </w:rPr>
          <w:t xml:space="preserve">Asian and Indigenous cultures</w:t>
        </w:r>
      </w:hyperlink>
      <w:r w:rsidDel="00000000" w:rsidR="00000000" w:rsidRPr="00000000">
        <w:rPr>
          <w:rFonts w:ascii="Times New Roman" w:cs="Times New Roman" w:eastAsia="Times New Roman" w:hAnsi="Times New Roman"/>
          <w:sz w:val="28"/>
          <w:szCs w:val="28"/>
          <w:rtl w:val="0"/>
        </w:rPr>
        <w:t xml:space="preserve">, established traditions help support the bereaved through their transition.</w:t>
      </w:r>
      <w:r w:rsidDel="00000000" w:rsidR="00000000" w:rsidRPr="00000000">
        <w:rPr>
          <w:rtl w:val="0"/>
        </w:rPr>
      </w:r>
    </w:p>
    <w:p w:rsidR="00000000" w:rsidDel="00000000" w:rsidP="00000000" w:rsidRDefault="00000000" w:rsidRPr="00000000" w14:paraId="0000002B">
      <w:pPr>
        <w:spacing w:after="200" w:before="200" w:line="276"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Maladaptive coping in youth</w:t>
      </w:r>
    </w:p>
    <w:p w:rsidR="00000000" w:rsidDel="00000000" w:rsidP="00000000" w:rsidRDefault="00000000" w:rsidRPr="00000000" w14:paraId="0000002C">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Death experiences shrouded in emotional distress and/or a lack of clarity perpetuate a fear of death and promote prolonged and complicated grief among the young people impacted by loss. As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this instructive post</w:t>
        </w:r>
      </w:hyperlink>
      <w:r w:rsidDel="00000000" w:rsidR="00000000" w:rsidRPr="00000000">
        <w:rPr>
          <w:rFonts w:ascii="Times New Roman" w:cs="Times New Roman" w:eastAsia="Times New Roman" w:hAnsi="Times New Roman"/>
          <w:sz w:val="28"/>
          <w:szCs w:val="28"/>
          <w:highlight w:val="white"/>
          <w:rtl w:val="0"/>
        </w:rPr>
        <w:t xml:space="preserve"> from Death With Dignity points out, “[A]voiding end-of-life conversations with kids, while done with the best of intentions, can lead to confusion, fear, and even distrust in the long run.” Instead, professionals encourage open, age-appropriate conversations to support the development of adaptive coping mechanisms and death literacy at an early age. For example,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the Dougy Center Model</w:t>
        </w:r>
      </w:hyperlink>
      <w:r w:rsidDel="00000000" w:rsidR="00000000" w:rsidRPr="00000000">
        <w:rPr>
          <w:rFonts w:ascii="Times New Roman" w:cs="Times New Roman" w:eastAsia="Times New Roman" w:hAnsi="Times New Roman"/>
          <w:sz w:val="28"/>
          <w:szCs w:val="28"/>
          <w:highlight w:val="white"/>
          <w:rtl w:val="0"/>
        </w:rPr>
        <w:t xml:space="preserve"> for youth and adolescents operates on a philosophy that death is a disruptive, but natural part of life and that healthy adaptation to loss is facilitated by both relationships and personal agency.</w:t>
      </w:r>
    </w:p>
    <w:p w:rsidR="00000000" w:rsidDel="00000000" w:rsidP="00000000" w:rsidRDefault="00000000" w:rsidRPr="00000000" w14:paraId="0000002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Embracing the Inevitable Through Death Literacy</w:t>
      </w:r>
      <w:r w:rsidDel="00000000" w:rsidR="00000000" w:rsidRPr="00000000">
        <w:rPr>
          <w:rtl w:val="0"/>
        </w:rPr>
      </w:r>
    </w:p>
    <w:p w:rsidR="00000000" w:rsidDel="00000000" w:rsidP="00000000" w:rsidRDefault="00000000" w:rsidRPr="00000000" w14:paraId="0000002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Whether one consciously or unconsciously ignores life’s finitude, the complete avoidance of death is unproductive. As palliative care expert </w:t>
      </w:r>
      <w:hyperlink r:id="rId44">
        <w:r w:rsidDel="00000000" w:rsidR="00000000" w:rsidRPr="00000000">
          <w:rPr>
            <w:rFonts w:ascii="Times New Roman" w:cs="Times New Roman" w:eastAsia="Times New Roman" w:hAnsi="Times New Roman"/>
            <w:color w:val="1155cc"/>
            <w:sz w:val="28"/>
            <w:szCs w:val="28"/>
            <w:u w:val="single"/>
            <w:rtl w:val="0"/>
          </w:rPr>
          <w:t xml:space="preserve">Dr. Ira Byock</w:t>
        </w:r>
      </w:hyperlink>
      <w:r w:rsidDel="00000000" w:rsidR="00000000" w:rsidRPr="00000000">
        <w:rPr>
          <w:rFonts w:ascii="Times New Roman" w:cs="Times New Roman" w:eastAsia="Times New Roman" w:hAnsi="Times New Roman"/>
          <w:sz w:val="28"/>
          <w:szCs w:val="28"/>
          <w:rtl w:val="0"/>
        </w:rPr>
        <w:t xml:space="preserve"> </w:t>
      </w:r>
      <w:hyperlink r:id="rId45">
        <w:r w:rsidDel="00000000" w:rsidR="00000000" w:rsidRPr="00000000">
          <w:rPr>
            <w:rFonts w:ascii="Times New Roman" w:cs="Times New Roman" w:eastAsia="Times New Roman" w:hAnsi="Times New Roman"/>
            <w:color w:val="1155cc"/>
            <w:sz w:val="28"/>
            <w:szCs w:val="28"/>
            <w:u w:val="single"/>
            <w:rtl w:val="0"/>
          </w:rPr>
          <w:t xml:space="preserve">shared with the online publication Next Avenue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“You rob life of its richness. The best way is to think about it and prepare for death in a defined way.”</w:t>
      </w:r>
      <w:r w:rsidDel="00000000" w:rsidR="00000000" w:rsidRPr="00000000">
        <w:rPr>
          <w:rFonts w:ascii="Times New Roman" w:cs="Times New Roman" w:eastAsia="Times New Roman" w:hAnsi="Times New Roman"/>
          <w:sz w:val="28"/>
          <w:szCs w:val="28"/>
          <w:rtl w:val="0"/>
        </w:rPr>
        <w:t xml:space="preserve"> Experts believe it’s </w:t>
      </w:r>
      <w:r w:rsidDel="00000000" w:rsidR="00000000" w:rsidRPr="00000000">
        <w:rPr>
          <w:rFonts w:ascii="Times New Roman" w:cs="Times New Roman" w:eastAsia="Times New Roman" w:hAnsi="Times New Roman"/>
          <w:sz w:val="28"/>
          <w:szCs w:val="28"/>
          <w:rtl w:val="0"/>
        </w:rPr>
        <w:t xml:space="preserve">essential</w:t>
      </w:r>
      <w:r w:rsidDel="00000000" w:rsidR="00000000" w:rsidRPr="00000000">
        <w:rPr>
          <w:rFonts w:ascii="Times New Roman" w:cs="Times New Roman" w:eastAsia="Times New Roman" w:hAnsi="Times New Roman"/>
          <w:sz w:val="28"/>
          <w:szCs w:val="28"/>
          <w:rtl w:val="0"/>
        </w:rPr>
        <w:t xml:space="preserve"> to recognize that thinking about death—often referred to as </w:t>
      </w:r>
      <w:r w:rsidDel="00000000" w:rsidR="00000000" w:rsidRPr="00000000">
        <w:rPr>
          <w:rFonts w:ascii="Times New Roman" w:cs="Times New Roman" w:eastAsia="Times New Roman" w:hAnsi="Times New Roman"/>
          <w:sz w:val="28"/>
          <w:szCs w:val="28"/>
          <w:rtl w:val="0"/>
        </w:rPr>
        <w:t xml:space="preserve">“</w:t>
      </w:r>
      <w:hyperlink r:id="rId46">
        <w:r w:rsidDel="00000000" w:rsidR="00000000" w:rsidRPr="00000000">
          <w:rPr>
            <w:rFonts w:ascii="Times New Roman" w:cs="Times New Roman" w:eastAsia="Times New Roman" w:hAnsi="Times New Roman"/>
            <w:color w:val="1155cc"/>
            <w:sz w:val="28"/>
            <w:szCs w:val="28"/>
            <w:u w:val="single"/>
            <w:rtl w:val="0"/>
          </w:rPr>
          <w:t xml:space="preserve">death awareness</w:t>
        </w:r>
      </w:hyperlink>
      <w:r w:rsidDel="00000000" w:rsidR="00000000" w:rsidRPr="00000000">
        <w:rPr>
          <w:rFonts w:ascii="Times New Roman" w:cs="Times New Roman" w:eastAsia="Times New Roman" w:hAnsi="Times New Roman"/>
          <w:sz w:val="28"/>
          <w:szCs w:val="28"/>
          <w:rtl w:val="0"/>
        </w:rPr>
        <w:t xml:space="preserve">” or “death cognition</w:t>
      </w:r>
      <w:r w:rsidDel="00000000" w:rsidR="00000000" w:rsidRPr="00000000">
        <w:rPr>
          <w:rFonts w:ascii="Times New Roman" w:cs="Times New Roman" w:eastAsia="Times New Roman" w:hAnsi="Times New Roman"/>
          <w:sz w:val="28"/>
          <w:szCs w:val="28"/>
          <w:rtl w:val="0"/>
        </w:rPr>
        <w:t xml:space="preserve">”—doesn’t just lead to a neutral outcome. </w:t>
      </w:r>
      <w:r w:rsidDel="00000000" w:rsidR="00000000" w:rsidRPr="00000000">
        <w:rPr>
          <w:rFonts w:ascii="Times New Roman" w:cs="Times New Roman" w:eastAsia="Times New Roman" w:hAnsi="Times New Roman"/>
          <w:sz w:val="28"/>
          <w:szCs w:val="28"/>
          <w:rtl w:val="0"/>
        </w:rPr>
        <w:t xml:space="preserve">Instead</w:t>
      </w:r>
      <w:r w:rsidDel="00000000" w:rsidR="00000000" w:rsidRPr="00000000">
        <w:rPr>
          <w:rFonts w:ascii="Times New Roman" w:cs="Times New Roman" w:eastAsia="Times New Roman" w:hAnsi="Times New Roman"/>
          <w:sz w:val="28"/>
          <w:szCs w:val="28"/>
          <w:rtl w:val="0"/>
        </w:rPr>
        <w:t xml:space="preserve">, contemplation of one’s mortality has been shown to enhance desirable qualities such as empathy and generosity.</w:t>
      </w:r>
    </w:p>
    <w:p w:rsidR="00000000" w:rsidDel="00000000" w:rsidP="00000000" w:rsidRDefault="00000000" w:rsidRPr="00000000" w14:paraId="0000002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Qualitative studies </w:t>
      </w:r>
      <w:r w:rsidDel="00000000" w:rsidR="00000000" w:rsidRPr="00000000">
        <w:rPr>
          <w:rFonts w:ascii="Times New Roman" w:cs="Times New Roman" w:eastAsia="Times New Roman" w:hAnsi="Times New Roman"/>
          <w:sz w:val="28"/>
          <w:szCs w:val="28"/>
          <w:rtl w:val="0"/>
        </w:rPr>
        <w:t xml:space="preserve">on</w:t>
      </w:r>
      <w:r w:rsidDel="00000000" w:rsidR="00000000" w:rsidRPr="00000000">
        <w:rPr>
          <w:rFonts w:ascii="Times New Roman" w:cs="Times New Roman" w:eastAsia="Times New Roman" w:hAnsi="Times New Roman"/>
          <w:sz w:val="28"/>
          <w:szCs w:val="28"/>
          <w:rtl w:val="0"/>
        </w:rPr>
        <w:t xml:space="preserve"> near-death experiences, along with the personal growth benefits of mortality salience, emerged</w:t>
      </w:r>
      <w:r w:rsidDel="00000000" w:rsidR="00000000" w:rsidRPr="00000000">
        <w:rPr>
          <w:rFonts w:ascii="Times New Roman" w:cs="Times New Roman" w:eastAsia="Times New Roman" w:hAnsi="Times New Roman"/>
          <w:sz w:val="28"/>
          <w:szCs w:val="28"/>
          <w:rtl w:val="0"/>
        </w:rPr>
        <w:t xml:space="preserve"> i</w:t>
      </w:r>
      <w:r w:rsidDel="00000000" w:rsidR="00000000" w:rsidRPr="00000000">
        <w:rPr>
          <w:rFonts w:ascii="Times New Roman" w:cs="Times New Roman" w:eastAsia="Times New Roman" w:hAnsi="Times New Roman"/>
          <w:sz w:val="28"/>
          <w:szCs w:val="28"/>
          <w:rtl w:val="0"/>
        </w:rPr>
        <w:t xml:space="preserve">n the Western world in the 1970s, with innovative thinkers such as </w:t>
      </w:r>
      <w:hyperlink r:id="rId47">
        <w:r w:rsidDel="00000000" w:rsidR="00000000" w:rsidRPr="00000000">
          <w:rPr>
            <w:rFonts w:ascii="Times New Roman" w:cs="Times New Roman" w:eastAsia="Times New Roman" w:hAnsi="Times New Roman"/>
            <w:color w:val="1155cc"/>
            <w:sz w:val="28"/>
            <w:szCs w:val="28"/>
            <w:u w:val="single"/>
            <w:rtl w:val="0"/>
          </w:rPr>
          <w:t xml:space="preserve">Raymond Moody</w:t>
        </w:r>
      </w:hyperlink>
      <w:r w:rsidDel="00000000" w:rsidR="00000000" w:rsidRPr="00000000">
        <w:rPr>
          <w:rFonts w:ascii="Times New Roman" w:cs="Times New Roman" w:eastAsia="Times New Roman" w:hAnsi="Times New Roman"/>
          <w:sz w:val="28"/>
          <w:szCs w:val="28"/>
          <w:rtl w:val="0"/>
        </w:rPr>
        <w:t xml:space="preserve">, author of </w:t>
      </w:r>
      <w:hyperlink r:id="rId48">
        <w:r w:rsidDel="00000000" w:rsidR="00000000" w:rsidRPr="00000000">
          <w:rPr>
            <w:rFonts w:ascii="Times New Roman" w:cs="Times New Roman" w:eastAsia="Times New Roman" w:hAnsi="Times New Roman"/>
            <w:i w:val="1"/>
            <w:iCs w:val="1"/>
            <w:color w:val="1155cc"/>
            <w:sz w:val="28"/>
            <w:szCs w:val="28"/>
            <w:u w:val="single"/>
            <w:rtl w:val="0"/>
          </w:rPr>
          <w:t xml:space="preserve">Life After Life</w:t>
        </w:r>
      </w:hyperlink>
      <w:r w:rsidDel="00000000" w:rsidR="00000000" w:rsidRPr="00000000">
        <w:rPr>
          <w:rFonts w:ascii="Times New Roman" w:cs="Times New Roman" w:eastAsia="Times New Roman" w:hAnsi="Times New Roman"/>
          <w:sz w:val="28"/>
          <w:szCs w:val="28"/>
          <w:rtl w:val="0"/>
        </w:rPr>
        <w:t xml:space="preserve">, and University of Virginia School of Medicine professor </w:t>
      </w:r>
      <w:hyperlink r:id="rId49">
        <w:r w:rsidDel="00000000" w:rsidR="00000000" w:rsidRPr="00000000">
          <w:rPr>
            <w:rFonts w:ascii="Times New Roman" w:cs="Times New Roman" w:eastAsia="Times New Roman" w:hAnsi="Times New Roman"/>
            <w:color w:val="1155cc"/>
            <w:sz w:val="28"/>
            <w:szCs w:val="28"/>
            <w:u w:val="single"/>
            <w:rtl w:val="0"/>
          </w:rPr>
          <w:t xml:space="preserve">Bruce Greyson</w:t>
        </w:r>
      </w:hyperlink>
      <w:r w:rsidDel="00000000" w:rsidR="00000000" w:rsidRPr="00000000">
        <w:rPr>
          <w:rFonts w:ascii="Times New Roman" w:cs="Times New Roman" w:eastAsia="Times New Roman" w:hAnsi="Times New Roman"/>
          <w:sz w:val="28"/>
          <w:szCs w:val="28"/>
          <w:rtl w:val="0"/>
        </w:rPr>
        <w:t xml:space="preserve"> paving the way.</w:t>
      </w:r>
      <w:r w:rsidDel="00000000" w:rsidR="00000000" w:rsidRPr="00000000">
        <w:rPr>
          <w:rFonts w:ascii="Times New Roman" w:cs="Times New Roman" w:eastAsia="Times New Roman" w:hAnsi="Times New Roman"/>
          <w:sz w:val="28"/>
          <w:szCs w:val="28"/>
          <w:rtl w:val="0"/>
        </w:rPr>
        <w:t xml:space="preserve"> However, </w:t>
      </w:r>
      <w:r w:rsidDel="00000000" w:rsidR="00000000" w:rsidRPr="00000000">
        <w:rPr>
          <w:rFonts w:ascii="Times New Roman" w:cs="Times New Roman" w:eastAsia="Times New Roman" w:hAnsi="Times New Roman"/>
          <w:sz w:val="28"/>
          <w:szCs w:val="28"/>
          <w:rtl w:val="0"/>
        </w:rPr>
        <w:t xml:space="preserve">it’s essential</w:t>
      </w:r>
      <w:r w:rsidDel="00000000" w:rsidR="00000000" w:rsidRPr="00000000">
        <w:rPr>
          <w:rFonts w:ascii="Times New Roman" w:cs="Times New Roman" w:eastAsia="Times New Roman" w:hAnsi="Times New Roman"/>
          <w:sz w:val="28"/>
          <w:szCs w:val="28"/>
          <w:rtl w:val="0"/>
        </w:rPr>
        <w:t xml:space="preserve"> to note that the practice </w:t>
      </w:r>
      <w:r w:rsidDel="00000000" w:rsidR="00000000" w:rsidRPr="00000000">
        <w:rPr>
          <w:rFonts w:ascii="Times New Roman" w:cs="Times New Roman" w:eastAsia="Times New Roman" w:hAnsi="Times New Roman"/>
          <w:sz w:val="28"/>
          <w:szCs w:val="28"/>
          <w:rtl w:val="0"/>
        </w:rPr>
        <w:t xml:space="preserve">of death</w:t>
      </w:r>
      <w:r w:rsidDel="00000000" w:rsidR="00000000" w:rsidRPr="00000000">
        <w:rPr>
          <w:rFonts w:ascii="Times New Roman" w:cs="Times New Roman" w:eastAsia="Times New Roman" w:hAnsi="Times New Roman"/>
          <w:sz w:val="28"/>
          <w:szCs w:val="28"/>
          <w:rtl w:val="0"/>
        </w:rPr>
        <w:t xml:space="preserve"> contemplation </w:t>
      </w:r>
      <w:r w:rsidDel="00000000" w:rsidR="00000000" w:rsidRPr="00000000">
        <w:rPr>
          <w:rFonts w:ascii="Times New Roman" w:cs="Times New Roman" w:eastAsia="Times New Roman" w:hAnsi="Times New Roman"/>
          <w:sz w:val="28"/>
          <w:szCs w:val="28"/>
          <w:rtl w:val="0"/>
        </w:rPr>
        <w:t xml:space="preserve">has a long</w:t>
      </w:r>
      <w:r w:rsidDel="00000000" w:rsidR="00000000" w:rsidRPr="00000000">
        <w:rPr>
          <w:rFonts w:ascii="Times New Roman" w:cs="Times New Roman" w:eastAsia="Times New Roman" w:hAnsi="Times New Roman"/>
          <w:sz w:val="28"/>
          <w:szCs w:val="28"/>
          <w:rtl w:val="0"/>
        </w:rPr>
        <w:t xml:space="preserve"> history, </w:t>
      </w:r>
      <w:r w:rsidDel="00000000" w:rsidR="00000000" w:rsidRPr="00000000">
        <w:rPr>
          <w:rFonts w:ascii="Times New Roman" w:cs="Times New Roman" w:eastAsia="Times New Roman" w:hAnsi="Times New Roman"/>
          <w:sz w:val="28"/>
          <w:szCs w:val="28"/>
          <w:rtl w:val="0"/>
        </w:rPr>
        <w:t xml:space="preserve">dating back to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Buddhist lineage. </w:t>
      </w:r>
      <w:hyperlink r:id="rId50">
        <w:r w:rsidDel="00000000" w:rsidR="00000000" w:rsidRPr="00000000">
          <w:rPr>
            <w:rFonts w:ascii="Times New Roman" w:cs="Times New Roman" w:eastAsia="Times New Roman" w:hAnsi="Times New Roman"/>
            <w:i w:val="1"/>
            <w:iCs w:val="1"/>
            <w:color w:val="1155cc"/>
            <w:sz w:val="28"/>
            <w:szCs w:val="28"/>
            <w:u w:val="single"/>
            <w:rtl w:val="0"/>
          </w:rPr>
          <w:t xml:space="preserve">The Tibetan Book of the Dead</w:t>
        </w:r>
      </w:hyperlink>
      <w:r w:rsidDel="00000000" w:rsidR="00000000" w:rsidRPr="00000000">
        <w:rPr>
          <w:rFonts w:ascii="Times New Roman" w:cs="Times New Roman" w:eastAsia="Times New Roman" w:hAnsi="Times New Roman"/>
          <w:sz w:val="28"/>
          <w:szCs w:val="28"/>
          <w:rtl w:val="0"/>
        </w:rPr>
        <w:t xml:space="preserve">, believed to have originated in the eighth century, speaks at length to the possibility of growth through serious consideration of life’s transience. Such principles have been rejuvenated in the public eye by contemporary Buddhist teachers such as the late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Thích Nhất Hạnh</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 </w:t>
      </w:r>
      <w:hyperlink r:id="rId52">
        <w:r w:rsidDel="00000000" w:rsidR="00000000" w:rsidRPr="00000000">
          <w:rPr>
            <w:rFonts w:ascii="Times New Roman" w:cs="Times New Roman" w:eastAsia="Times New Roman" w:hAnsi="Times New Roman"/>
            <w:color w:val="1155cc"/>
            <w:sz w:val="28"/>
            <w:szCs w:val="28"/>
            <w:u w:val="single"/>
            <w:rtl w:val="0"/>
          </w:rPr>
          <w:t xml:space="preserve">Pema Chödrön</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3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proposition of a more purposeful existence as a consequence of death awareness should not be relegated to mere spiritual abstraction. </w:t>
      </w:r>
      <w:r w:rsidDel="00000000" w:rsidR="00000000" w:rsidRPr="00000000">
        <w:rPr>
          <w:rFonts w:ascii="Times New Roman" w:cs="Times New Roman" w:eastAsia="Times New Roman" w:hAnsi="Times New Roman"/>
          <w:sz w:val="28"/>
          <w:szCs w:val="28"/>
          <w:rtl w:val="0"/>
        </w:rPr>
        <w:t xml:space="preserve">Instead</w:t>
      </w:r>
      <w:r w:rsidDel="00000000" w:rsidR="00000000" w:rsidRPr="00000000">
        <w:rPr>
          <w:rFonts w:ascii="Times New Roman" w:cs="Times New Roman" w:eastAsia="Times New Roman" w:hAnsi="Times New Roman"/>
          <w:sz w:val="28"/>
          <w:szCs w:val="28"/>
          <w:rtl w:val="0"/>
        </w:rPr>
        <w:t xml:space="preserve">, it yields highly practical skills. </w:t>
      </w:r>
      <w:hyperlink r:id="rId53">
        <w:r w:rsidDel="00000000" w:rsidR="00000000" w:rsidRPr="00000000">
          <w:rPr>
            <w:rFonts w:ascii="Times New Roman" w:cs="Times New Roman" w:eastAsia="Times New Roman" w:hAnsi="Times New Roman"/>
            <w:color w:val="1155cc"/>
            <w:sz w:val="28"/>
            <w:szCs w:val="28"/>
            <w:u w:val="single"/>
            <w:rtl w:val="0"/>
          </w:rPr>
          <w:t xml:space="preserve">According to Jennifer A. O’Brien</w:t>
        </w:r>
      </w:hyperlink>
      <w:r w:rsidDel="00000000" w:rsidR="00000000" w:rsidRPr="00000000">
        <w:rPr>
          <w:rFonts w:ascii="Times New Roman" w:cs="Times New Roman" w:eastAsia="Times New Roman" w:hAnsi="Times New Roman"/>
          <w:sz w:val="28"/>
          <w:szCs w:val="28"/>
          <w:rtl w:val="0"/>
        </w:rPr>
        <w:t xml:space="preserve">, author of </w:t>
      </w:r>
      <w:r w:rsidDel="00000000" w:rsidR="00000000" w:rsidRPr="00000000">
        <w:rPr>
          <w:rFonts w:ascii="Times New Roman" w:cs="Times New Roman" w:eastAsia="Times New Roman" w:hAnsi="Times New Roman"/>
          <w:i w:val="1"/>
          <w:iCs w:val="1"/>
          <w:sz w:val="28"/>
          <w:szCs w:val="28"/>
          <w:rtl w:val="0"/>
        </w:rPr>
        <w:t xml:space="preserve">The Hospice Doctor’s Widow</w:t>
      </w:r>
      <w:r w:rsidDel="00000000" w:rsidR="00000000" w:rsidRPr="00000000">
        <w:rPr>
          <w:rFonts w:ascii="Times New Roman" w:cs="Times New Roman" w:eastAsia="Times New Roman" w:hAnsi="Times New Roman"/>
          <w:sz w:val="28"/>
          <w:szCs w:val="28"/>
          <w:rtl w:val="0"/>
        </w:rPr>
        <w:t xml:space="preserve"> and 35-year veteran of the U.S. health care system, “</w:t>
      </w:r>
      <w:r w:rsidDel="00000000" w:rsidR="00000000" w:rsidRPr="00000000">
        <w:rPr>
          <w:rFonts w:ascii="Times New Roman" w:cs="Times New Roman" w:eastAsia="Times New Roman" w:hAnsi="Times New Roman"/>
          <w:sz w:val="28"/>
          <w:szCs w:val="28"/>
          <w:rtl w:val="0"/>
        </w:rPr>
        <w:t xml:space="preserve">I have come to see that true peace and balance in life come only when we’ve made space to contemplate our own death and the inevitable loss of those we love. This kind of reflection isn’t dark; it’s deep, and it makes us more present, more connected. It’s death literacy: the personal and practical understanding we need to navigate mortality with clarity, courage, and care. And it includes four subtopics: family caregiving, end-of-life preparation, after-loss administration, and grief.” When she lost her husband, the conversation and preparation they had made before his death helped her survive the next steps.</w:t>
      </w:r>
    </w:p>
    <w:p w:rsidR="00000000" w:rsidDel="00000000" w:rsidP="00000000" w:rsidRDefault="00000000" w:rsidRPr="00000000" w14:paraId="0000003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Death literacy should be integrated into the development of comprehensive public health policies. “Death involves an extensive public health system that is often overlooked as merely a result of medical treatments. The development of services that meet the needs of citizens requires a comprehensive understanding of the current situation. Through the lens of public health, death literacy plays an important role in policy and service development,” </w:t>
      </w:r>
      <w:hyperlink r:id="rId54">
        <w:r w:rsidDel="00000000" w:rsidR="00000000" w:rsidRPr="00000000">
          <w:rPr>
            <w:rFonts w:ascii="Times New Roman" w:cs="Times New Roman" w:eastAsia="Times New Roman" w:hAnsi="Times New Roman"/>
            <w:color w:val="1155cc"/>
            <w:sz w:val="28"/>
            <w:szCs w:val="28"/>
            <w:u w:val="single"/>
            <w:rtl w:val="0"/>
          </w:rPr>
          <w:t xml:space="preserve">pointed out</w:t>
        </w:r>
      </w:hyperlink>
      <w:r w:rsidDel="00000000" w:rsidR="00000000" w:rsidRPr="00000000">
        <w:rPr>
          <w:rFonts w:ascii="Times New Roman" w:cs="Times New Roman" w:eastAsia="Times New Roman" w:hAnsi="Times New Roman"/>
          <w:sz w:val="28"/>
          <w:szCs w:val="28"/>
          <w:rtl w:val="0"/>
        </w:rPr>
        <w:t xml:space="preserve"> a 2023 study published in the Frontiers of Public Health.</w:t>
      </w:r>
      <w:r w:rsidDel="00000000" w:rsidR="00000000" w:rsidRPr="00000000">
        <w:rPr>
          <w:rtl w:val="0"/>
        </w:rPr>
      </w:r>
    </w:p>
    <w:p w:rsidR="00000000" w:rsidDel="00000000" w:rsidP="00000000" w:rsidRDefault="00000000" w:rsidRPr="00000000" w14:paraId="0000003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Below is a two-step approach for improving mortality awareness</w:t>
      </w:r>
      <w:r w:rsidDel="00000000" w:rsidR="00000000" w:rsidRPr="00000000">
        <w:rPr>
          <w:rFonts w:ascii="Times New Roman" w:cs="Times New Roman" w:eastAsia="Times New Roman" w:hAnsi="Times New Roman"/>
          <w:sz w:val="28"/>
          <w:szCs w:val="28"/>
          <w:rtl w:val="0"/>
        </w:rPr>
        <w:t xml:space="preserve"> and </w:t>
      </w:r>
      <w:hyperlink r:id="rId55">
        <w:r w:rsidDel="00000000" w:rsidR="00000000" w:rsidRPr="00000000">
          <w:rPr>
            <w:rFonts w:ascii="Times New Roman" w:cs="Times New Roman" w:eastAsia="Times New Roman" w:hAnsi="Times New Roman"/>
            <w:color w:val="1155cc"/>
            <w:sz w:val="28"/>
            <w:szCs w:val="28"/>
            <w:u w:val="single"/>
            <w:rtl w:val="0"/>
          </w:rPr>
          <w:t xml:space="preserve">death literacy</w:t>
        </w:r>
      </w:hyperlink>
      <w:r w:rsidDel="00000000" w:rsidR="00000000" w:rsidRPr="00000000">
        <w:rPr>
          <w:rFonts w:ascii="Times New Roman" w:cs="Times New Roman" w:eastAsia="Times New Roman" w:hAnsi="Times New Roman"/>
          <w:sz w:val="28"/>
          <w:szCs w:val="28"/>
          <w:rtl w:val="0"/>
        </w:rPr>
        <w:t xml:space="preserve">. Additionally, these suggestions provide constructive insights into relevant documentation, which helps ensure that a person’s wishes are followed </w:t>
      </w:r>
      <w:r w:rsidDel="00000000" w:rsidR="00000000" w:rsidRPr="00000000">
        <w:rPr>
          <w:rFonts w:ascii="Times New Roman" w:cs="Times New Roman" w:eastAsia="Times New Roman" w:hAnsi="Times New Roman"/>
          <w:sz w:val="28"/>
          <w:szCs w:val="28"/>
          <w:rtl w:val="0"/>
        </w:rPr>
        <w:t xml:space="preserve">by</w:t>
      </w:r>
      <w:r w:rsidDel="00000000" w:rsidR="00000000" w:rsidRPr="00000000">
        <w:rPr>
          <w:rFonts w:ascii="Times New Roman" w:cs="Times New Roman" w:eastAsia="Times New Roman" w:hAnsi="Times New Roman"/>
          <w:sz w:val="28"/>
          <w:szCs w:val="28"/>
          <w:rtl w:val="0"/>
        </w:rPr>
        <w:t xml:space="preserve"> caregivers during their sunset years. Such positive reframing has helped the aging and their circle of family and friends develop a deeper appreciation for life and preparedness for death. Collectively, these approaches will help provide the tools needed to navigate end-of-life experiences with greater clarity and care.</w:t>
      </w:r>
    </w:p>
    <w:p w:rsidR="00000000" w:rsidDel="00000000" w:rsidP="00000000" w:rsidRDefault="00000000" w:rsidRPr="00000000" w14:paraId="00000033">
      <w:pPr>
        <w:numPr>
          <w:ilvl w:val="0"/>
          <w:numId w:val="3"/>
        </w:numPr>
        <w:spacing w:after="200" w:before="20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Start by Noticing:</w:t>
      </w:r>
      <w:r w:rsidDel="00000000" w:rsidR="00000000" w:rsidRPr="00000000">
        <w:rPr>
          <w:rFonts w:ascii="Times New Roman" w:cs="Times New Roman" w:eastAsia="Times New Roman" w:hAnsi="Times New Roman"/>
          <w:sz w:val="28"/>
          <w:szCs w:val="28"/>
          <w:rtl w:val="0"/>
        </w:rPr>
        <w:t xml:space="preserve"> </w:t>
      </w:r>
      <w:hyperlink r:id="rId56">
        <w:r w:rsidDel="00000000" w:rsidR="00000000" w:rsidRPr="00000000">
          <w:rPr>
            <w:rFonts w:ascii="Times New Roman" w:cs="Times New Roman" w:eastAsia="Times New Roman" w:hAnsi="Times New Roman"/>
            <w:color w:val="1155cc"/>
            <w:sz w:val="28"/>
            <w:szCs w:val="28"/>
            <w:u w:val="single"/>
            <w:rtl w:val="0"/>
          </w:rPr>
          <w:t xml:space="preserve">Metacognition</w:t>
        </w:r>
      </w:hyperlink>
      <w:r w:rsidDel="00000000" w:rsidR="00000000" w:rsidRPr="00000000">
        <w:rPr>
          <w:rFonts w:ascii="Times New Roman" w:cs="Times New Roman" w:eastAsia="Times New Roman" w:hAnsi="Times New Roman"/>
          <w:sz w:val="28"/>
          <w:szCs w:val="28"/>
          <w:rtl w:val="0"/>
        </w:rPr>
        <w:t xml:space="preserve"> is the ability to be aware of one’s thought processes, and is an important skill to develop as you journey toward death literacy. Before you deep dive into the topic, it’s wise </w:t>
      </w:r>
      <w:r w:rsidDel="00000000" w:rsidR="00000000" w:rsidRPr="00000000">
        <w:rPr>
          <w:rFonts w:ascii="Times New Roman" w:cs="Times New Roman" w:eastAsia="Times New Roman" w:hAnsi="Times New Roman"/>
          <w:sz w:val="28"/>
          <w:szCs w:val="28"/>
          <w:rtl w:val="0"/>
        </w:rPr>
        <w:t xml:space="preserve">first to consider your gut reaction to death</w:t>
      </w:r>
      <w:r w:rsidDel="00000000" w:rsidR="00000000" w:rsidRPr="00000000">
        <w:rPr>
          <w:rFonts w:ascii="Times New Roman" w:cs="Times New Roman" w:eastAsia="Times New Roman" w:hAnsi="Times New Roman"/>
          <w:sz w:val="28"/>
          <w:szCs w:val="28"/>
          <w:rtl w:val="0"/>
        </w:rPr>
        <w:t xml:space="preserve">. Does the mere concept of dying make your entire body tense up, or does curiosity prompt you to lean in? Similarly, it may be helpful to ask yourself </w:t>
      </w:r>
      <w:r w:rsidDel="00000000" w:rsidR="00000000" w:rsidRPr="00000000">
        <w:rPr>
          <w:rFonts w:ascii="Times New Roman" w:cs="Times New Roman" w:eastAsia="Times New Roman" w:hAnsi="Times New Roman"/>
          <w:i w:val="1"/>
          <w:iCs w:val="1"/>
          <w:sz w:val="28"/>
          <w:szCs w:val="28"/>
          <w:rtl w:val="0"/>
        </w:rPr>
        <w:t xml:space="preserve">why</w:t>
      </w:r>
      <w:r w:rsidDel="00000000" w:rsidR="00000000" w:rsidRPr="00000000">
        <w:rPr>
          <w:rFonts w:ascii="Times New Roman" w:cs="Times New Roman" w:eastAsia="Times New Roman" w:hAnsi="Times New Roman"/>
          <w:sz w:val="28"/>
          <w:szCs w:val="28"/>
          <w:rtl w:val="0"/>
        </w:rPr>
        <w:t xml:space="preserve"> you are drawn to this topic. Has a specific event prompted this inquiry? Is your health status uncertain? By first engaging in relevant introspection, you can create an informed baseline of your emotions and motivations.</w:t>
      </w:r>
    </w:p>
    <w:p w:rsidR="00000000" w:rsidDel="00000000" w:rsidP="00000000" w:rsidRDefault="00000000" w:rsidRPr="00000000" w14:paraId="00000034">
      <w:pPr>
        <w:numPr>
          <w:ilvl w:val="0"/>
          <w:numId w:val="3"/>
        </w:numPr>
        <w:spacing w:after="200" w:before="200" w:line="276"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Exploring Resources and Community: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Terms like “good death” and “death positive” yielded early awareness about mortality-relevant conversations, community events, and media exposure. But as this once outlier movement grew into the mainstream, the term “death literacy” was adopted by professionals as a more comprehensive descriptor.</w:t>
      </w:r>
    </w:p>
    <w:p w:rsidR="00000000" w:rsidDel="00000000" w:rsidP="00000000" w:rsidRDefault="00000000" w:rsidRPr="00000000" w14:paraId="00000035">
      <w:pPr>
        <w:spacing w:after="200" w:before="20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are</w:t>
      </w:r>
      <w:r w:rsidDel="00000000" w:rsidR="00000000" w:rsidRPr="00000000">
        <w:rPr>
          <w:rFonts w:ascii="Times New Roman" w:cs="Times New Roman" w:eastAsia="Times New Roman" w:hAnsi="Times New Roman"/>
          <w:sz w:val="28"/>
          <w:szCs w:val="28"/>
          <w:rtl w:val="0"/>
        </w:rPr>
        <w:t xml:space="preserve"> many ways to start this transformative journey. For a more free-form approach, one could attend a local </w:t>
      </w:r>
      <w:hyperlink r:id="rId57">
        <w:r w:rsidDel="00000000" w:rsidR="00000000" w:rsidRPr="00000000">
          <w:rPr>
            <w:rFonts w:ascii="Times New Roman" w:cs="Times New Roman" w:eastAsia="Times New Roman" w:hAnsi="Times New Roman"/>
            <w:color w:val="1155cc"/>
            <w:sz w:val="28"/>
            <w:szCs w:val="28"/>
            <w:u w:val="single"/>
            <w:rtl w:val="0"/>
          </w:rPr>
          <w:t xml:space="preserve">Death Cafe</w:t>
        </w:r>
      </w:hyperlink>
      <w:r w:rsidDel="00000000" w:rsidR="00000000" w:rsidRPr="00000000">
        <w:rPr>
          <w:rFonts w:ascii="Times New Roman" w:cs="Times New Roman" w:eastAsia="Times New Roman" w:hAnsi="Times New Roman"/>
          <w:sz w:val="28"/>
          <w:szCs w:val="28"/>
          <w:rtl w:val="0"/>
        </w:rPr>
        <w:t xml:space="preserve"> or </w:t>
      </w:r>
      <w:hyperlink r:id="rId58">
        <w:r w:rsidDel="00000000" w:rsidR="00000000" w:rsidRPr="00000000">
          <w:rPr>
            <w:rFonts w:ascii="Times New Roman" w:cs="Times New Roman" w:eastAsia="Times New Roman" w:hAnsi="Times New Roman"/>
            <w:color w:val="1155cc"/>
            <w:sz w:val="28"/>
            <w:szCs w:val="28"/>
            <w:u w:val="single"/>
            <w:rtl w:val="0"/>
          </w:rPr>
          <w:t xml:space="preserve">Death Over Dinner</w:t>
        </w:r>
      </w:hyperlink>
      <w:r w:rsidDel="00000000" w:rsidR="00000000" w:rsidRPr="00000000">
        <w:rPr>
          <w:rFonts w:ascii="Times New Roman" w:cs="Times New Roman" w:eastAsia="Times New Roman" w:hAnsi="Times New Roman"/>
          <w:sz w:val="28"/>
          <w:szCs w:val="28"/>
          <w:rtl w:val="0"/>
        </w:rPr>
        <w:t xml:space="preserve"> event where guests are invited to discuss end-of-life curiosities in a </w:t>
      </w:r>
      <w:r w:rsidDel="00000000" w:rsidR="00000000" w:rsidRPr="00000000">
        <w:rPr>
          <w:rFonts w:ascii="Times New Roman" w:cs="Times New Roman" w:eastAsia="Times New Roman" w:hAnsi="Times New Roman"/>
          <w:sz w:val="28"/>
          <w:szCs w:val="28"/>
          <w:rtl w:val="0"/>
        </w:rPr>
        <w:t xml:space="preserve">nonjudgmental</w:t>
      </w:r>
      <w:r w:rsidDel="00000000" w:rsidR="00000000" w:rsidRPr="00000000">
        <w:rPr>
          <w:rFonts w:ascii="Times New Roman" w:cs="Times New Roman" w:eastAsia="Times New Roman" w:hAnsi="Times New Roman"/>
          <w:sz w:val="28"/>
          <w:szCs w:val="28"/>
          <w:rtl w:val="0"/>
        </w:rPr>
        <w:t xml:space="preserve"> manner. Alternatively, engaging in legacy-centered activities such as composing your obituary, crafting legacy letters for friends and family, or building a memorial playlist is another important step. For a more structured approach to learning, consider taking a course or workshop. Explore your local library, public services for the aging, and AARP to see what’s available nearby or online. A quick </w:t>
      </w:r>
      <w:hyperlink r:id="rId59">
        <w:r w:rsidDel="00000000" w:rsidR="00000000" w:rsidRPr="00000000">
          <w:rPr>
            <w:rFonts w:ascii="Times New Roman" w:cs="Times New Roman" w:eastAsia="Times New Roman" w:hAnsi="Times New Roman"/>
            <w:color w:val="1155cc"/>
            <w:sz w:val="28"/>
            <w:szCs w:val="28"/>
            <w:u w:val="single"/>
            <w:rtl w:val="0"/>
          </w:rPr>
          <w:t xml:space="preserve">Google</w:t>
        </w:r>
      </w:hyperlink>
      <w:r w:rsidDel="00000000" w:rsidR="00000000" w:rsidRPr="00000000">
        <w:rPr>
          <w:rFonts w:ascii="Times New Roman" w:cs="Times New Roman" w:eastAsia="Times New Roman" w:hAnsi="Times New Roman"/>
          <w:sz w:val="28"/>
          <w:szCs w:val="28"/>
          <w:rtl w:val="0"/>
        </w:rPr>
        <w:t xml:space="preserve"> search can help identify a growing list of expert-led resources. Many of these options offer opportunities to learn and connect with others who have similar interests.</w:t>
      </w:r>
    </w:p>
    <w:p w:rsidR="00000000" w:rsidDel="00000000" w:rsidP="00000000" w:rsidRDefault="00000000" w:rsidRPr="00000000" w14:paraId="00000036">
      <w:pPr>
        <w:spacing w:after="200" w:before="200" w:line="276"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if you’re more introverted, you might start by simply noticing life and death in the natural world around you, perusing websites like </w:t>
      </w:r>
      <w:hyperlink r:id="rId60">
        <w:r w:rsidDel="00000000" w:rsidR="00000000" w:rsidRPr="00000000">
          <w:rPr>
            <w:rFonts w:ascii="Times New Roman" w:cs="Times New Roman" w:eastAsia="Times New Roman" w:hAnsi="Times New Roman"/>
            <w:color w:val="1155cc"/>
            <w:sz w:val="28"/>
            <w:szCs w:val="28"/>
            <w:u w:val="single"/>
            <w:rtl w:val="0"/>
          </w:rPr>
          <w:t xml:space="preserve">Bevival</w:t>
        </w:r>
      </w:hyperlink>
      <w:r w:rsidDel="00000000" w:rsidR="00000000" w:rsidRPr="00000000">
        <w:rPr>
          <w:rFonts w:ascii="Times New Roman" w:cs="Times New Roman" w:eastAsia="Times New Roman" w:hAnsi="Times New Roman"/>
          <w:sz w:val="28"/>
          <w:szCs w:val="28"/>
          <w:rtl w:val="0"/>
        </w:rPr>
        <w:t xml:space="preserve"> (run by this article’s co-author Caren Martineau) and </w:t>
      </w:r>
      <w:hyperlink r:id="rId61">
        <w:r w:rsidDel="00000000" w:rsidR="00000000" w:rsidRPr="00000000">
          <w:rPr>
            <w:rFonts w:ascii="Times New Roman" w:cs="Times New Roman" w:eastAsia="Times New Roman" w:hAnsi="Times New Roman"/>
            <w:color w:val="1155cc"/>
            <w:sz w:val="28"/>
            <w:szCs w:val="28"/>
            <w:u w:val="single"/>
            <w:rtl w:val="0"/>
          </w:rPr>
          <w:t xml:space="preserve">The Order of the Good Death</w:t>
        </w:r>
      </w:hyperlink>
      <w:r w:rsidDel="00000000" w:rsidR="00000000" w:rsidRPr="00000000">
        <w:rPr>
          <w:rFonts w:ascii="Times New Roman" w:cs="Times New Roman" w:eastAsia="Times New Roman" w:hAnsi="Times New Roman"/>
          <w:sz w:val="28"/>
          <w:szCs w:val="28"/>
          <w:rtl w:val="0"/>
        </w:rPr>
        <w:t xml:space="preserve">, or following the prompts in </w:t>
      </w:r>
      <w:hyperlink r:id="rId62">
        <w:r w:rsidDel="00000000" w:rsidR="00000000" w:rsidRPr="00000000">
          <w:rPr>
            <w:rFonts w:ascii="Times New Roman" w:cs="Times New Roman" w:eastAsia="Times New Roman" w:hAnsi="Times New Roman"/>
            <w:color w:val="1155cc"/>
            <w:sz w:val="28"/>
            <w:szCs w:val="28"/>
            <w:u w:val="single"/>
            <w:rtl w:val="0"/>
          </w:rPr>
          <w:t xml:space="preserve">The Death Deck</w:t>
        </w:r>
      </w:hyperlink>
      <w:r w:rsidDel="00000000" w:rsidR="00000000" w:rsidRPr="00000000">
        <w:rPr>
          <w:rFonts w:ascii="Times New Roman" w:cs="Times New Roman" w:eastAsia="Times New Roman" w:hAnsi="Times New Roman"/>
          <w:sz w:val="28"/>
          <w:szCs w:val="28"/>
          <w:rtl w:val="0"/>
        </w:rPr>
        <w:t xml:space="preserve">, a card deck offering more than a 100 multiple-choice and open-ended questions such as “What’s a song that you hope is shared at your funeral?” and “Is it appropriate to take pictures at a funeral?”</w:t>
      </w:r>
    </w:p>
    <w:p w:rsidR="00000000" w:rsidDel="00000000" w:rsidP="00000000" w:rsidRDefault="00000000" w:rsidRPr="00000000" w14:paraId="0000003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Whatever road you choose, the point is that by organically building resources, you not only acquire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comfort that comes with clarity,</w:t>
      </w:r>
      <w:r w:rsidDel="00000000" w:rsidR="00000000" w:rsidRPr="00000000">
        <w:rPr>
          <w:rFonts w:ascii="Times New Roman" w:cs="Times New Roman" w:eastAsia="Times New Roman" w:hAnsi="Times New Roman"/>
          <w:sz w:val="28"/>
          <w:szCs w:val="28"/>
          <w:rtl w:val="0"/>
        </w:rPr>
        <w:t xml:space="preserve"> but</w:t>
      </w:r>
      <w:r w:rsidDel="00000000" w:rsidR="00000000" w:rsidRPr="00000000">
        <w:rPr>
          <w:rFonts w:ascii="Times New Roman" w:cs="Times New Roman" w:eastAsia="Times New Roman" w:hAnsi="Times New Roman"/>
          <w:sz w:val="28"/>
          <w:szCs w:val="28"/>
          <w:rtl w:val="0"/>
        </w:rPr>
        <w:t xml:space="preserve"> you also provide directions for those who will execute your wishes at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time of need.</w:t>
      </w:r>
    </w:p>
    <w:p w:rsidR="00000000" w:rsidDel="00000000" w:rsidP="00000000" w:rsidRDefault="00000000" w:rsidRPr="00000000" w14:paraId="00000038">
      <w:pPr>
        <w:numPr>
          <w:ilvl w:val="0"/>
        </w:num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Advance Through Documentation: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Once you’ve developed a familiarity and comfort with the practicalities of end-of-life preparation, put pen to paper. Start by identifying your </w:t>
      </w:r>
      <w:hyperlink r:id="rId63">
        <w:r w:rsidDel="00000000" w:rsidR="00000000" w:rsidRPr="00000000">
          <w:rPr>
            <w:rFonts w:ascii="Times New Roman" w:cs="Times New Roman" w:eastAsia="Times New Roman" w:hAnsi="Times New Roman"/>
            <w:color w:val="1155cc"/>
            <w:sz w:val="28"/>
            <w:szCs w:val="28"/>
            <w:u w:val="single"/>
            <w:rtl w:val="0"/>
          </w:rPr>
          <w:t xml:space="preserve">health care proxy</w:t>
        </w:r>
      </w:hyperlink>
      <w:r w:rsidDel="00000000" w:rsidR="00000000" w:rsidRPr="00000000">
        <w:rPr>
          <w:rFonts w:ascii="Times New Roman" w:cs="Times New Roman" w:eastAsia="Times New Roman" w:hAnsi="Times New Roman"/>
          <w:sz w:val="28"/>
          <w:szCs w:val="28"/>
          <w:rtl w:val="0"/>
        </w:rPr>
        <w:t xml:space="preserve"> and completing an </w:t>
      </w:r>
      <w:hyperlink r:id="rId64">
        <w:r w:rsidDel="00000000" w:rsidR="00000000" w:rsidRPr="00000000">
          <w:rPr>
            <w:rFonts w:ascii="Times New Roman" w:cs="Times New Roman" w:eastAsia="Times New Roman" w:hAnsi="Times New Roman"/>
            <w:color w:val="1155cc"/>
            <w:sz w:val="28"/>
            <w:szCs w:val="28"/>
            <w:u w:val="single"/>
            <w:rtl w:val="0"/>
          </w:rPr>
          <w:t xml:space="preserve">advance care directive</w:t>
        </w:r>
      </w:hyperlink>
      <w:r w:rsidDel="00000000" w:rsidR="00000000" w:rsidRPr="00000000">
        <w:rPr>
          <w:rFonts w:ascii="Times New Roman" w:cs="Times New Roman" w:eastAsia="Times New Roman" w:hAnsi="Times New Roman"/>
          <w:sz w:val="28"/>
          <w:szCs w:val="28"/>
          <w:rtl w:val="0"/>
        </w:rPr>
        <w:t xml:space="preserve">. These forms can be downloaded free from your state’s website and those of nonprofit organizations that advocate for better end-of-life preparedness, such as </w:t>
      </w:r>
      <w:hyperlink r:id="rId65">
        <w:r w:rsidDel="00000000" w:rsidR="00000000" w:rsidRPr="00000000">
          <w:rPr>
            <w:rFonts w:ascii="Times New Roman" w:cs="Times New Roman" w:eastAsia="Times New Roman" w:hAnsi="Times New Roman"/>
            <w:color w:val="1155cc"/>
            <w:sz w:val="28"/>
            <w:szCs w:val="28"/>
            <w:u w:val="single"/>
            <w:rtl w:val="0"/>
          </w:rPr>
          <w:t xml:space="preserve">Compassion and Choices</w:t>
        </w:r>
      </w:hyperlink>
      <w:r w:rsidDel="00000000" w:rsidR="00000000" w:rsidRPr="00000000">
        <w:rPr>
          <w:rFonts w:ascii="Times New Roman" w:cs="Times New Roman" w:eastAsia="Times New Roman" w:hAnsi="Times New Roman"/>
          <w:sz w:val="28"/>
          <w:szCs w:val="28"/>
          <w:rtl w:val="0"/>
        </w:rPr>
        <w:t xml:space="preserve"> and </w:t>
      </w:r>
      <w:hyperlink r:id="rId66">
        <w:r w:rsidDel="00000000" w:rsidR="00000000" w:rsidRPr="00000000">
          <w:rPr>
            <w:rFonts w:ascii="Times New Roman" w:cs="Times New Roman" w:eastAsia="Times New Roman" w:hAnsi="Times New Roman"/>
            <w:color w:val="1155cc"/>
            <w:sz w:val="28"/>
            <w:szCs w:val="28"/>
            <w:u w:val="single"/>
            <w:rtl w:val="0"/>
          </w:rPr>
          <w:t xml:space="preserve">The Conversation Project</w:t>
        </w:r>
      </w:hyperlink>
      <w:r w:rsidDel="00000000" w:rsidR="00000000" w:rsidRPr="00000000">
        <w:rPr>
          <w:rFonts w:ascii="Times New Roman" w:cs="Times New Roman" w:eastAsia="Times New Roman" w:hAnsi="Times New Roman"/>
          <w:sz w:val="28"/>
          <w:szCs w:val="28"/>
          <w:rtl w:val="0"/>
        </w:rPr>
        <w:t xml:space="preserve">. Similarly, you may wish to meet with an estate lawyer who can address your specific needs and/or reduce the volume of tactical to-dos for loved ones during your sunset. Alternatively, you may decide to engage a death </w:t>
      </w:r>
      <w:hyperlink r:id="rId67">
        <w:r w:rsidDel="00000000" w:rsidR="00000000" w:rsidRPr="00000000">
          <w:rPr>
            <w:rFonts w:ascii="Times New Roman" w:cs="Times New Roman" w:eastAsia="Times New Roman" w:hAnsi="Times New Roman"/>
            <w:color w:val="1155cc"/>
            <w:sz w:val="28"/>
            <w:szCs w:val="28"/>
            <w:u w:val="single"/>
            <w:rtl w:val="0"/>
          </w:rPr>
          <w:t xml:space="preserve">doula</w:t>
        </w:r>
      </w:hyperlink>
      <w:r w:rsidDel="00000000" w:rsidR="00000000" w:rsidRPr="00000000">
        <w:rPr>
          <w:rFonts w:ascii="Times New Roman" w:cs="Times New Roman" w:eastAsia="Times New Roman" w:hAnsi="Times New Roman"/>
          <w:sz w:val="28"/>
          <w:szCs w:val="28"/>
          <w:rtl w:val="0"/>
        </w:rPr>
        <w:t xml:space="preserve"> to help you navigate your end-of-life planning long before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time of need and, separately, to be present for you then.</w:t>
      </w:r>
    </w:p>
    <w:p w:rsidR="00000000" w:rsidDel="00000000" w:rsidP="00000000" w:rsidRDefault="00000000" w:rsidRPr="00000000" w14:paraId="00000039">
      <w:pPr>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Here is a brief checklist of documents </w:t>
      </w:r>
      <w:hyperlink r:id="rId68">
        <w:r w:rsidDel="00000000" w:rsidR="00000000" w:rsidRPr="00000000">
          <w:rPr>
            <w:rFonts w:ascii="Times New Roman" w:cs="Times New Roman" w:eastAsia="Times New Roman" w:hAnsi="Times New Roman"/>
            <w:color w:val="1155cc"/>
            <w:sz w:val="28"/>
            <w:szCs w:val="28"/>
            <w:u w:val="single"/>
            <w:rtl w:val="0"/>
          </w:rPr>
          <w:t xml:space="preserve">needed</w:t>
        </w:r>
      </w:hyperlink>
      <w:r w:rsidDel="00000000" w:rsidR="00000000" w:rsidRPr="00000000">
        <w:rPr>
          <w:rFonts w:ascii="Times New Roman" w:cs="Times New Roman" w:eastAsia="Times New Roman" w:hAnsi="Times New Roman"/>
          <w:sz w:val="28"/>
          <w:szCs w:val="28"/>
          <w:rtl w:val="0"/>
        </w:rPr>
        <w:t xml:space="preserve"> to help ensure your affairs are in order, along with other important information provided by the National Institute of Aging:</w:t>
      </w:r>
    </w:p>
    <w:p w:rsidR="00000000" w:rsidDel="00000000" w:rsidP="00000000" w:rsidRDefault="00000000" w:rsidRPr="00000000" w14:paraId="0000003A">
      <w:pPr>
        <w:numPr>
          <w:ilvl w:val="0"/>
          <w:numId w:val="1"/>
        </w:numPr>
        <w:spacing w:after="0" w:afterAutospacing="0" w:before="200"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last will and </w:t>
      </w:r>
      <w:r w:rsidDel="00000000" w:rsidR="00000000" w:rsidRPr="00000000">
        <w:rPr>
          <w:rFonts w:ascii="Times New Roman" w:cs="Times New Roman" w:eastAsia="Times New Roman" w:hAnsi="Times New Roman"/>
          <w:sz w:val="28"/>
          <w:szCs w:val="28"/>
          <w:rtl w:val="0"/>
        </w:rPr>
        <w:t xml:space="preserve">testament</w:t>
      </w:r>
      <w:r w:rsidDel="00000000" w:rsidR="00000000" w:rsidRPr="00000000">
        <w:rPr>
          <w:rFonts w:ascii="Times New Roman" w:cs="Times New Roman" w:eastAsia="Times New Roman" w:hAnsi="Times New Roman"/>
          <w:sz w:val="28"/>
          <w:szCs w:val="28"/>
          <w:rtl w:val="0"/>
        </w:rPr>
        <w:t xml:space="preserve">, which determines how assets will be managed or distributed and by whom.</w:t>
      </w:r>
    </w:p>
    <w:p w:rsidR="00000000" w:rsidDel="00000000" w:rsidP="00000000" w:rsidRDefault="00000000" w:rsidRPr="00000000" w14:paraId="0000003B">
      <w:pPr>
        <w:numPr>
          <w:ilvl w:val="0"/>
          <w:numId w:val="1"/>
        </w:numPr>
        <w:spacing w:after="0" w:afterAutospacing="0" w:before="0" w:beforeAutospacing="0"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“living will” that </w:t>
      </w:r>
      <w:r w:rsidDel="00000000" w:rsidR="00000000" w:rsidRPr="00000000">
        <w:rPr>
          <w:rFonts w:ascii="Times New Roman" w:cs="Times New Roman" w:eastAsia="Times New Roman" w:hAnsi="Times New Roman"/>
          <w:sz w:val="28"/>
          <w:szCs w:val="28"/>
          <w:rtl w:val="0"/>
        </w:rPr>
        <w:t xml:space="preserve">names</w:t>
      </w:r>
      <w:r w:rsidDel="00000000" w:rsidR="00000000" w:rsidRPr="00000000">
        <w:rPr>
          <w:rFonts w:ascii="Times New Roman" w:cs="Times New Roman" w:eastAsia="Times New Roman" w:hAnsi="Times New Roman"/>
          <w:sz w:val="28"/>
          <w:szCs w:val="28"/>
          <w:rtl w:val="0"/>
        </w:rPr>
        <w:t xml:space="preserve"> your health care proxy and </w:t>
      </w:r>
      <w:r w:rsidDel="00000000" w:rsidR="00000000" w:rsidRPr="00000000">
        <w:rPr>
          <w:rFonts w:ascii="Times New Roman" w:cs="Times New Roman" w:eastAsia="Times New Roman" w:hAnsi="Times New Roman"/>
          <w:sz w:val="28"/>
          <w:szCs w:val="28"/>
          <w:rtl w:val="0"/>
        </w:rPr>
        <w:t xml:space="preserve">specifies</w:t>
      </w:r>
      <w:r w:rsidDel="00000000" w:rsidR="00000000" w:rsidRPr="00000000">
        <w:rPr>
          <w:rFonts w:ascii="Times New Roman" w:cs="Times New Roman" w:eastAsia="Times New Roman" w:hAnsi="Times New Roman"/>
          <w:sz w:val="28"/>
          <w:szCs w:val="28"/>
          <w:rtl w:val="0"/>
        </w:rPr>
        <w:t xml:space="preserve"> how you want to be treated when you are unable to make decisions for yourself.</w:t>
      </w:r>
    </w:p>
    <w:p w:rsidR="00000000" w:rsidDel="00000000" w:rsidP="00000000" w:rsidRDefault="00000000" w:rsidRPr="00000000" w14:paraId="0000003C">
      <w:pPr>
        <w:numPr>
          <w:ilvl w:val="0"/>
          <w:numId w:val="1"/>
        </w:numPr>
        <w:spacing w:after="0" w:afterAutospacing="0" w:before="0" w:beforeAutospacing="0"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password manager, which can be either a digital solution or a traditional paper-based document, can provide access to your online accounts.</w:t>
      </w:r>
    </w:p>
    <w:p w:rsidR="00000000" w:rsidDel="00000000" w:rsidP="00000000" w:rsidRDefault="00000000" w:rsidRPr="00000000" w14:paraId="0000003D">
      <w:pPr>
        <w:numPr>
          <w:ilvl w:val="0"/>
          <w:numId w:val="1"/>
        </w:numPr>
        <w:spacing w:after="200" w:before="0" w:beforeAutospacing="0"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review of your plans regularly.</w:t>
      </w:r>
    </w:p>
    <w:p w:rsidR="00000000" w:rsidDel="00000000" w:rsidP="00000000" w:rsidRDefault="00000000" w:rsidRPr="00000000" w14:paraId="0000003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Recognizing the universal truth of impermanence helps us accept that the cycle of life is in a continuous state of flux and transformation,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sz w:val="28"/>
          <w:szCs w:val="28"/>
          <w:rtl w:val="0"/>
        </w:rPr>
        <w:t xml:space="preserve">death literacy is an appropriate tool for all ages and stages of life.</w:t>
      </w:r>
    </w:p>
    <w:p w:rsidR="00000000" w:rsidDel="00000000" w:rsidP="00000000" w:rsidRDefault="00000000" w:rsidRPr="00000000" w14:paraId="0000003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 path toward literacy isn’t necessarily comfortable, it’s certainly worth pursuing, knowing </w:t>
      </w:r>
      <w:r w:rsidDel="00000000" w:rsidR="00000000" w:rsidRPr="00000000">
        <w:rPr>
          <w:rFonts w:ascii="Times New Roman" w:cs="Times New Roman" w:eastAsia="Times New Roman" w:hAnsi="Times New Roman"/>
          <w:i w:val="1"/>
          <w:iCs w:val="1"/>
          <w:sz w:val="28"/>
          <w:szCs w:val="28"/>
          <w:rtl w:val="0"/>
        </w:rPr>
        <w:t xml:space="preserve">tomorrow is not promised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Suggested Reading: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1">
      <w:pPr>
        <w:numPr>
          <w:ilvl w:val="0"/>
          <w:numId w:val="2"/>
        </w:numPr>
        <w:spacing w:after="0" w:afterAutospacing="0" w:before="200" w:line="276" w:lineRule="auto"/>
        <w:ind w:left="720" w:hanging="360"/>
        <w:rPr>
          <w:rFonts w:ascii="Times New Roman" w:cs="Times New Roman" w:eastAsia="Times New Roman" w:hAnsi="Times New Roman"/>
          <w:sz w:val="28"/>
          <w:szCs w:val="28"/>
        </w:rPr>
      </w:pPr>
      <w:hyperlink r:id="rId69">
        <w:r w:rsidDel="00000000" w:rsidR="00000000" w:rsidRPr="00000000">
          <w:rPr>
            <w:rFonts w:ascii="Times New Roman" w:cs="Times New Roman" w:eastAsia="Times New Roman" w:hAnsi="Times New Roman"/>
            <w:i w:val="1"/>
            <w:iCs w:val="1"/>
            <w:color w:val="1155cc"/>
            <w:sz w:val="28"/>
            <w:szCs w:val="28"/>
            <w:u w:val="single"/>
            <w:rtl w:val="0"/>
          </w:rPr>
          <w:t xml:space="preserve">The Worm at the Core</w:t>
        </w:r>
      </w:hyperlink>
      <w:r w:rsidDel="00000000" w:rsidR="00000000" w:rsidRPr="00000000">
        <w:rPr>
          <w:rtl w:val="0"/>
        </w:rPr>
      </w:r>
    </w:p>
    <w:p w:rsidR="00000000" w:rsidDel="00000000" w:rsidP="00000000" w:rsidRDefault="00000000" w:rsidRPr="00000000" w14:paraId="00000042">
      <w:pPr>
        <w:numPr>
          <w:ilvl w:val="0"/>
          <w:numId w:val="2"/>
        </w:numPr>
        <w:spacing w:after="0" w:afterAutospacing="0" w:before="0" w:beforeAutospacing="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hyperlink r:id="rId70">
        <w:r w:rsidDel="00000000" w:rsidR="00000000" w:rsidRPr="00000000">
          <w:rPr>
            <w:rFonts w:ascii="Times New Roman" w:cs="Times New Roman" w:eastAsia="Times New Roman" w:hAnsi="Times New Roman"/>
            <w:color w:val="1155cc"/>
            <w:sz w:val="28"/>
            <w:szCs w:val="28"/>
            <w:u w:val="single"/>
            <w:rtl w:val="0"/>
          </w:rPr>
          <w:t xml:space="preserve">Developing Death Literacy</w:t>
        </w:r>
      </w:hyperlink>
      <w:hyperlink r:id="rId71">
        <w:r w:rsidDel="00000000" w:rsidR="00000000" w:rsidRPr="00000000">
          <w:rPr>
            <w:rFonts w:ascii="Times New Roman" w:cs="Times New Roman" w:eastAsia="Times New Roman" w:hAnsi="Times New Roman"/>
            <w:color w:val="1155cc"/>
            <w:sz w:val="28"/>
            <w:szCs w:val="28"/>
            <w:u w:val="single"/>
            <w:rtl w:val="0"/>
          </w:rPr>
          <w:t xml:space="preserve">”</w:t>
        </w:r>
      </w:hyperlink>
      <w:r w:rsidDel="00000000" w:rsidR="00000000" w:rsidRPr="00000000">
        <w:rPr>
          <w:rtl w:val="0"/>
        </w:rPr>
      </w:r>
    </w:p>
    <w:p w:rsidR="00000000" w:rsidDel="00000000" w:rsidP="00000000" w:rsidRDefault="00000000" w:rsidRPr="00000000" w14:paraId="00000043">
      <w:pPr>
        <w:numPr>
          <w:ilvl w:val="0"/>
          <w:numId w:val="2"/>
        </w:numPr>
        <w:spacing w:after="0" w:afterAutospacing="0" w:before="0" w:beforeAutospacing="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155cc"/>
          <w:sz w:val="28"/>
          <w:szCs w:val="28"/>
          <w:rtl w:val="0"/>
        </w:rPr>
        <w:t xml:space="preserve">“</w:t>
      </w:r>
      <w:hyperlink r:id="rId72">
        <w:r w:rsidDel="00000000" w:rsidR="00000000" w:rsidRPr="00000000">
          <w:rPr>
            <w:rFonts w:ascii="Times New Roman" w:cs="Times New Roman" w:eastAsia="Times New Roman" w:hAnsi="Times New Roman"/>
            <w:color w:val="1155cc"/>
            <w:sz w:val="28"/>
            <w:szCs w:val="28"/>
            <w:u w:val="single"/>
            <w:rtl w:val="0"/>
          </w:rPr>
          <w:t xml:space="preserve">Demystifying Dying in End-of-Life Care</w:t>
        </w:r>
      </w:hyperlink>
      <w:r w:rsidDel="00000000" w:rsidR="00000000" w:rsidRPr="00000000">
        <w:rPr>
          <w:rFonts w:ascii="Times New Roman" w:cs="Times New Roman" w:eastAsia="Times New Roman" w:hAnsi="Times New Roman"/>
          <w:color w:val="1155cc"/>
          <w:sz w:val="28"/>
          <w:szCs w:val="28"/>
          <w:rtl w:val="0"/>
        </w:rPr>
        <w:t xml:space="preserve">”</w:t>
      </w:r>
      <w:r w:rsidDel="00000000" w:rsidR="00000000" w:rsidRPr="00000000">
        <w:rPr>
          <w:rtl w:val="0"/>
        </w:rPr>
      </w:r>
    </w:p>
    <w:p w:rsidR="00000000" w:rsidDel="00000000" w:rsidP="00000000" w:rsidRDefault="00000000" w:rsidRPr="00000000" w14:paraId="00000044">
      <w:pPr>
        <w:numPr>
          <w:ilvl w:val="0"/>
          <w:numId w:val="2"/>
        </w:numPr>
        <w:spacing w:after="200" w:before="0" w:beforeAutospacing="0" w:line="276"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155cc"/>
          <w:sz w:val="28"/>
          <w:szCs w:val="28"/>
          <w:rtl w:val="0"/>
        </w:rPr>
        <w:t xml:space="preserve">“</w:t>
      </w:r>
      <w:hyperlink r:id="rId73">
        <w:r w:rsidDel="00000000" w:rsidR="00000000" w:rsidRPr="00000000">
          <w:rPr>
            <w:rFonts w:ascii="Times New Roman" w:cs="Times New Roman" w:eastAsia="Times New Roman" w:hAnsi="Times New Roman"/>
            <w:color w:val="1155cc"/>
            <w:sz w:val="28"/>
            <w:szCs w:val="28"/>
            <w:u w:val="single"/>
            <w:rtl w:val="0"/>
          </w:rPr>
          <w:t xml:space="preserve">The Grief Tax</w:t>
        </w:r>
      </w:hyperlink>
      <w:r w:rsidDel="00000000" w:rsidR="00000000" w:rsidRPr="00000000">
        <w:rPr>
          <w:rFonts w:ascii="Times New Roman" w:cs="Times New Roman" w:eastAsia="Times New Roman" w:hAnsi="Times New Roman"/>
          <w:color w:val="1155cc"/>
          <w:sz w:val="28"/>
          <w:szCs w:val="28"/>
          <w:u w:val="single"/>
          <w:rtl w:val="0"/>
        </w:rPr>
        <w:t xml:space="preserve">”</w:t>
      </w:r>
      <w:r w:rsidDel="00000000" w:rsidR="00000000" w:rsidRPr="00000000">
        <w:rPr>
          <w:rtl w:val="0"/>
        </w:rPr>
      </w:r>
    </w:p>
    <w:sectPr>
      <w:headerReference r:id="rId74" w:type="default"/>
      <w:headerReference r:id="rId75" w:type="first"/>
      <w:footerReference r:id="rId7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aregiving.org/new-report-reveals-crisis-point-for-americas-63-million-family-caregivers/" TargetMode="External"/><Relationship Id="rId42" Type="http://schemas.openxmlformats.org/officeDocument/2006/relationships/hyperlink" Target="https://deathwithdignity.org/news/2023/09/how-and-when-we-talk-to-children/" TargetMode="External"/><Relationship Id="rId41" Type="http://schemas.openxmlformats.org/officeDocument/2006/relationships/hyperlink" Target="https://theconversation.com/death-and-dying-how-different-cultures-deal-with-grief-and-mourning-197299" TargetMode="External"/><Relationship Id="rId44" Type="http://schemas.openxmlformats.org/officeDocument/2006/relationships/hyperlink" Target="https://irabyock.org/the-press-room/print-and-online/" TargetMode="External"/><Relationship Id="rId43" Type="http://schemas.openxmlformats.org/officeDocument/2006/relationships/hyperlink" Target="https://www.dougy.org/about/our-work/philosophy-principles" TargetMode="External"/><Relationship Id="rId46" Type="http://schemas.openxmlformats.org/officeDocument/2006/relationships/hyperlink" Target="https://eolupodcast.com/2022/08/22/ep-365-how-to-life-a-death-aware-life-with-karen-wyatt-md-encore/" TargetMode="External"/><Relationship Id="rId45" Type="http://schemas.openxmlformats.org/officeDocument/2006/relationships/hyperlink" Target="https://www.nextavenue.org/how-our-attitude-about-death-affects-the-way-we-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dalliance.org/" TargetMode="External"/><Relationship Id="rId48" Type="http://schemas.openxmlformats.org/officeDocument/2006/relationships/hyperlink" Target="https://www.lifeafterlife.com/" TargetMode="External"/><Relationship Id="rId47" Type="http://schemas.openxmlformats.org/officeDocument/2006/relationships/hyperlink" Target="https://en.wikipedia.org/wiki/Raymond_Moody" TargetMode="External"/><Relationship Id="rId49" Type="http://schemas.openxmlformats.org/officeDocument/2006/relationships/hyperlink" Target="https://en.wikipedia.org/wiki/Bruce_Greyson" TargetMode="External"/><Relationship Id="rId5" Type="http://schemas.openxmlformats.org/officeDocument/2006/relationships/styles" Target="styles.xml"/><Relationship Id="rId6" Type="http://schemas.openxmlformats.org/officeDocument/2006/relationships/hyperlink" Target="https://bevival.com/" TargetMode="External"/><Relationship Id="rId7" Type="http://schemas.openxmlformats.org/officeDocument/2006/relationships/hyperlink" Target="http://carenmartineau.com/" TargetMode="External"/><Relationship Id="rId8" Type="http://schemas.openxmlformats.org/officeDocument/2006/relationships/hyperlink" Target="https://www.homefuneralalliance.org/" TargetMode="External"/><Relationship Id="rId73" Type="http://schemas.openxmlformats.org/officeDocument/2006/relationships/hyperlink" Target="https://the-grief-tax-report.tiiny.site/?utm_content=intro-hero" TargetMode="External"/><Relationship Id="rId72" Type="http://schemas.openxmlformats.org/officeDocument/2006/relationships/hyperlink" Target="https://www.researchgate.net/publication/394031991_Demystifying_dying_in_end-of-life-care_A_phenomenological_perspective" TargetMode="External"/><Relationship Id="rId31" Type="http://schemas.openxmlformats.org/officeDocument/2006/relationships/hyperlink" Target="https://www.alcor.org/introduction-to-cryonics/" TargetMode="External"/><Relationship Id="rId75" Type="http://schemas.openxmlformats.org/officeDocument/2006/relationships/header" Target="header2.xml"/><Relationship Id="rId30" Type="http://schemas.openxmlformats.org/officeDocument/2006/relationships/hyperlink" Target="https://www.ted.com/talks/ray_kurzweil_the_accelerating_power_of_technology" TargetMode="External"/><Relationship Id="rId74" Type="http://schemas.openxmlformats.org/officeDocument/2006/relationships/header" Target="header1.xml"/><Relationship Id="rId33" Type="http://schemas.openxmlformats.org/officeDocument/2006/relationships/hyperlink" Target="https://www.businessinsider.com/12-famous-people-who-died-without-will-picasso-prince-2023-8#prince-11" TargetMode="External"/><Relationship Id="rId32" Type="http://schemas.openxmlformats.org/officeDocument/2006/relationships/hyperlink" Target="https://academyofideas.com/2025/02/darkside-of-ai-transhumanism-and-the-war-against-humanity/" TargetMode="External"/><Relationship Id="rId76" Type="http://schemas.openxmlformats.org/officeDocument/2006/relationships/footer" Target="footer1.xml"/><Relationship Id="rId35" Type="http://schemas.openxmlformats.org/officeDocument/2006/relationships/hyperlink" Target="https://www.carescout.com/cost-of-care" TargetMode="External"/><Relationship Id="rId34" Type="http://schemas.openxmlformats.org/officeDocument/2006/relationships/hyperlink" Target="https://www.cdc.gov/mmwr/volumes/73/wr/mm7331a1.htm" TargetMode="External"/><Relationship Id="rId71" Type="http://schemas.openxmlformats.org/officeDocument/2006/relationships/hyperlink" Target="https://www.tandfonline.com/doi/pdf/10.1080/09699260.2015.1103498?casa_token" TargetMode="External"/><Relationship Id="rId70" Type="http://schemas.openxmlformats.org/officeDocument/2006/relationships/hyperlink" Target="https://www.tandfonline.com/doi/pdf/10.1080/09699260.2015.1103498?casa_token" TargetMode="External"/><Relationship Id="rId37" Type="http://schemas.openxmlformats.org/officeDocument/2006/relationships/hyperlink" Target="https://jme.bmj.com/content/early/2025/06/05/jme-2024-110192" TargetMode="External"/><Relationship Id="rId36" Type="http://schemas.openxmlformats.org/officeDocument/2006/relationships/hyperlink" Target="https://nfda.org/news/statistics" TargetMode="External"/><Relationship Id="rId39" Type="http://schemas.openxmlformats.org/officeDocument/2006/relationships/hyperlink" Target="https://www.caregiving.org/new-report-reveals-crisis-point-for-americas-63-million-family-caregivers/" TargetMode="External"/><Relationship Id="rId38" Type="http://schemas.openxmlformats.org/officeDocument/2006/relationships/hyperlink" Target="https://www.ncoa.org/article/advance-care-planning-what-is-it-and-when-should-it-be-done/" TargetMode="External"/><Relationship Id="rId62" Type="http://schemas.openxmlformats.org/officeDocument/2006/relationships/hyperlink" Target="https://thedeathdeck.com/?srsltid=AfmBOoqvXUZ9RP8g6O5VEemyD3fW2a68GAA-7IINlX5b1O1u0tolMNQR" TargetMode="External"/><Relationship Id="rId61" Type="http://schemas.openxmlformats.org/officeDocument/2006/relationships/hyperlink" Target="https://www.orderofthegooddeath.com/our-story/" TargetMode="External"/><Relationship Id="rId20" Type="http://schemas.openxmlformats.org/officeDocument/2006/relationships/hyperlink" Target="https://jamanetwork.com/journals/jamanetworkopen/fullarticle/2768372" TargetMode="External"/><Relationship Id="rId64" Type="http://schemas.openxmlformats.org/officeDocument/2006/relationships/hyperlink" Target="https://www.caringinfo.org/planning/advance-directives/what-is-an-advance-directive/" TargetMode="External"/><Relationship Id="rId63" Type="http://schemas.openxmlformats.org/officeDocument/2006/relationships/hyperlink" Target="https://www.everplans.com/articles/state-by-state-advance-directive-forms" TargetMode="External"/><Relationship Id="rId22" Type="http://schemas.openxmlformats.org/officeDocument/2006/relationships/hyperlink" Target="https://theconversationproject.org/wp-content/uploads/2018/06/TCP_OnePager.pdf" TargetMode="External"/><Relationship Id="rId66" Type="http://schemas.openxmlformats.org/officeDocument/2006/relationships/hyperlink" Target="https://theconversationproject.org" TargetMode="External"/><Relationship Id="rId21" Type="http://schemas.openxmlformats.org/officeDocument/2006/relationships/hyperlink" Target="https://pmc.ncbi.nlm.nih.gov/articles/PMC11637245/" TargetMode="External"/><Relationship Id="rId65" Type="http://schemas.openxmlformats.org/officeDocument/2006/relationships/hyperlink" Target="https://compassionandchoices.org/resource/eoldgt/" TargetMode="External"/><Relationship Id="rId24" Type="http://schemas.openxmlformats.org/officeDocument/2006/relationships/hyperlink" Target="https://www.ernestbecker.org/terror-management-theory" TargetMode="External"/><Relationship Id="rId68" Type="http://schemas.openxmlformats.org/officeDocument/2006/relationships/hyperlink" Target="https://www.nia.nih.gov/health/advance-care-planning/getting-your-affairs-order-checklist-documents-prepare-future" TargetMode="External"/><Relationship Id="rId23" Type="http://schemas.openxmlformats.org/officeDocument/2006/relationships/hyperlink" Target="https://en.wikipedia.org/wiki/The_Denial_of_Death" TargetMode="External"/><Relationship Id="rId67" Type="http://schemas.openxmlformats.org/officeDocument/2006/relationships/hyperlink" Target="https://health.clevelandclinic.org/death-doula" TargetMode="External"/><Relationship Id="rId60" Type="http://schemas.openxmlformats.org/officeDocument/2006/relationships/hyperlink" Target="http://bevival.com/" TargetMode="External"/><Relationship Id="rId26" Type="http://schemas.openxmlformats.org/officeDocument/2006/relationships/hyperlink" Target="https://www.sciencedirect.com/science/article/abs/pii/S001002772030127X" TargetMode="External"/><Relationship Id="rId25" Type="http://schemas.openxmlformats.org/officeDocument/2006/relationships/hyperlink" Target="https://med.stanford.edu/survivingcancer/coping-with-cancer/symbolic-immortality-.html" TargetMode="External"/><Relationship Id="rId69" Type="http://schemas.openxmlformats.org/officeDocument/2006/relationships/hyperlink" Target="https://www.penguinrandomhouse.com/books/170217/the-worm-at-the-core-by-sheldon-solomon-jeff-greenberg-and-tom-pyszczynski/" TargetMode="External"/><Relationship Id="rId28" Type="http://schemas.openxmlformats.org/officeDocument/2006/relationships/hyperlink" Target="https://www.pewresearch.org/religion/2023/12/07/spirituality-among-americans/" TargetMode="External"/><Relationship Id="rId27" Type="http://schemas.openxmlformats.org/officeDocument/2006/relationships/hyperlink" Target="https://www.myjewishlearning.com/article/immortality-belief-in-a-bodiless-existence/" TargetMode="External"/><Relationship Id="rId29" Type="http://schemas.openxmlformats.org/officeDocument/2006/relationships/hyperlink" Target="https://www.pew.org/en/trust/archive/summer-2025/the-decline-of-christianity-has-slowed#:~:text=Among%20the%20report's%20other%20key,in%20which%20they%20were%20raised." TargetMode="External"/><Relationship Id="rId51" Type="http://schemas.openxmlformats.org/officeDocument/2006/relationships/hyperlink" Target="https://en.wikipedia.org/wiki/Th%C3%ADch_Nh%E1%BA%A5t_H%E1%BA%A1nh" TargetMode="External"/><Relationship Id="rId50" Type="http://schemas.openxmlformats.org/officeDocument/2006/relationships/hyperlink" Target="https://theconversation.com/guide-to-the-classics-the-tibetan-book-of-the-dead-172962" TargetMode="External"/><Relationship Id="rId53" Type="http://schemas.openxmlformats.org/officeDocument/2006/relationships/hyperlink" Target="https://www.ageist.com/uncategorized/death-literacy-the-new-life-skill/" TargetMode="External"/><Relationship Id="rId52" Type="http://schemas.openxmlformats.org/officeDocument/2006/relationships/hyperlink" Target="https://pemachodronfoundation.org/" TargetMode="External"/><Relationship Id="rId11" Type="http://schemas.openxmlformats.org/officeDocument/2006/relationships/hyperlink" Target="https://observatory.wiki/As_a_Growing_Social_Movement_and_Self-Care_Practice,_Death_Literacy_Is_Fostering_Positive_Conversations_About_the_End" TargetMode="External"/><Relationship Id="rId55" Type="http://schemas.openxmlformats.org/officeDocument/2006/relationships/hyperlink" Target="https://www.metropolitanmemorialparks.com.au/resource-hub/death-literacy" TargetMode="External"/><Relationship Id="rId10" Type="http://schemas.openxmlformats.org/officeDocument/2006/relationships/hyperlink" Target="https://independentmediainstitute.org/earth-food-life" TargetMode="External"/><Relationship Id="rId54" Type="http://schemas.openxmlformats.org/officeDocument/2006/relationships/hyperlink" Target="https://pmc.ncbi.nlm.nih.gov/articles/PMC10213892" TargetMode="External"/><Relationship Id="rId13" Type="http://schemas.openxmlformats.org/officeDocument/2006/relationships/hyperlink" Target="https://ushistoryscene.com/article/second-industrial-revolution/" TargetMode="External"/><Relationship Id="rId57" Type="http://schemas.openxmlformats.org/officeDocument/2006/relationships/hyperlink" Target="https://deathcafe.com/" TargetMode="External"/><Relationship Id="rId12" Type="http://schemas.openxmlformats.org/officeDocument/2006/relationships/hyperlink" Target="https://www.linkedin.com/in/skparkerward/" TargetMode="External"/><Relationship Id="rId56" Type="http://schemas.openxmlformats.org/officeDocument/2006/relationships/hyperlink" Target="https://en.wikipedia.org/wiki/Metacognition" TargetMode="External"/><Relationship Id="rId15" Type="http://schemas.openxmlformats.org/officeDocument/2006/relationships/hyperlink" Target="https://scholar.google.com/citations?user=ioWsdQcAAAAJ&amp;hl=en" TargetMode="External"/><Relationship Id="rId59" Type="http://schemas.openxmlformats.org/officeDocument/2006/relationships/hyperlink" Target="https://www.google.com/search?q=death+workshops&amp;oq=death+workshops&amp;gs_lcrp=EgZjaHJvbWUyBggAEEUYOTIICAEQABgWGB4yCAgCEAAYFhgeMggIAxAAGBYYHjIKCAQQABiABBiiBNIBCDgzMjhqMGo0qAIAsAIB&amp;sourceid=chrome&amp;ie=UTF-8" TargetMode="External"/><Relationship Id="rId14" Type="http://schemas.openxmlformats.org/officeDocument/2006/relationships/hyperlink" Target="https://www.loc.gov/classroom-materials/united-states-history-primary-source-timeline/rise-of-industrial-america-1876-1900/city-life-in-late-19th-century/" TargetMode="External"/><Relationship Id="rId58" Type="http://schemas.openxmlformats.org/officeDocument/2006/relationships/hyperlink" Target="https://deathoverdinner.org/" TargetMode="External"/><Relationship Id="rId17" Type="http://schemas.openxmlformats.org/officeDocument/2006/relationships/hyperlink" Target="https://theconversation.com/covid-has-changed-how-we-live-how-we-die-and-how-we-grieve-177731" TargetMode="External"/><Relationship Id="rId16" Type="http://schemas.openxmlformats.org/officeDocument/2006/relationships/hyperlink" Target="https://talkdeath.com/death-be-not-proud-gen-zs-attitudes-surrounding-death-and-dying/" TargetMode="External"/><Relationship Id="rId19" Type="http://schemas.openxmlformats.org/officeDocument/2006/relationships/hyperlink" Target="https://inelda.org/" TargetMode="External"/><Relationship Id="rId18" Type="http://schemas.openxmlformats.org/officeDocument/2006/relationships/hyperlink" Target="https://www.who.int/news-room/fact-sheets/detail/ageing-and-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