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When Did Societal Elites Emerge?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late Stone Age is not commonly associated with socially stratified societies, yet archaeologist Mehmet Özdoğan</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argues social and political elites were already shaping communities when humans began farming.</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w:t>
      </w:r>
      <w:hyperlink r:id="rId8">
        <w:r w:rsidDel="00000000" w:rsidR="00000000" w:rsidRPr="00000000">
          <w:rPr>
            <w:rFonts w:ascii="Times New Roman" w:cs="Times New Roman" w:eastAsia="Times New Roman" w:hAnsi="Times New Roman"/>
            <w:i w:val="1"/>
            <w:sz w:val="28"/>
            <w:szCs w:val="28"/>
            <w:highlight w:val="white"/>
            <w:rtl w:val="0"/>
          </w:rPr>
          <w:t xml:space="preserve"> </w:t>
        </w:r>
      </w:hyperlink>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History, North America/United States of America, Social Justice, Trump, Middle East/Turkey, Middle East/Iraq, Middle East/Jordan, Middle East/Egypt, Asia/Thailand, Europe,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diversity of government and social structures, e</w:t>
      </w:r>
      <w:r w:rsidDel="00000000" w:rsidR="00000000" w:rsidRPr="00000000">
        <w:rPr>
          <w:rFonts w:ascii="Times New Roman" w:cs="Times New Roman" w:eastAsia="Times New Roman" w:hAnsi="Times New Roman"/>
          <w:sz w:val="28"/>
          <w:szCs w:val="28"/>
          <w:rtl w:val="0"/>
        </w:rPr>
        <w:t xml:space="preserve">very country today faces social and political tensions tied to concentrated and unaccountable power in the hands of national elites. The modern sociological concept of elites </w:t>
      </w:r>
      <w:hyperlink r:id="rId10">
        <w:r w:rsidDel="00000000" w:rsidR="00000000" w:rsidRPr="00000000">
          <w:rPr>
            <w:rFonts w:ascii="Times New Roman" w:cs="Times New Roman" w:eastAsia="Times New Roman" w:hAnsi="Times New Roman"/>
            <w:color w:val="1155cc"/>
            <w:sz w:val="28"/>
            <w:szCs w:val="28"/>
            <w:u w:val="single"/>
            <w:rtl w:val="0"/>
          </w:rPr>
          <w:t xml:space="preserve">emerged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the early 20th century, introduced by Vilfredo Pareto, who argued that every society produces a minority that steers decision-making. Other sociologists further refined the idea of </w:t>
      </w:r>
      <w:hyperlink r:id="rId11">
        <w:r w:rsidDel="00000000" w:rsidR="00000000" w:rsidRPr="00000000">
          <w:rPr>
            <w:rFonts w:ascii="Times New Roman" w:cs="Times New Roman" w:eastAsia="Times New Roman" w:hAnsi="Times New Roman"/>
            <w:color w:val="1155cc"/>
            <w:sz w:val="28"/>
            <w:szCs w:val="28"/>
            <w:u w:val="single"/>
            <w:rtl w:val="0"/>
          </w:rPr>
          <w:t xml:space="preserve">elite theory</w:t>
        </w:r>
      </w:hyperlink>
      <w:r w:rsidDel="00000000" w:rsidR="00000000" w:rsidRPr="00000000">
        <w:rPr>
          <w:rFonts w:ascii="Times New Roman" w:cs="Times New Roman" w:eastAsia="Times New Roman" w:hAnsi="Times New Roman"/>
          <w:sz w:val="28"/>
          <w:szCs w:val="28"/>
          <w:rtl w:val="0"/>
        </w:rPr>
        <w:t xml:space="preserve">, noting its regularity in organizations, corporations, and institutions.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Robert Michels’s “</w:t>
      </w:r>
      <w:hyperlink r:id="rId12">
        <w:r w:rsidDel="00000000" w:rsidR="00000000" w:rsidRPr="00000000">
          <w:rPr>
            <w:rFonts w:ascii="Times New Roman" w:cs="Times New Roman" w:eastAsia="Times New Roman" w:hAnsi="Times New Roman"/>
            <w:color w:val="1155cc"/>
            <w:sz w:val="28"/>
            <w:szCs w:val="28"/>
            <w:u w:val="single"/>
            <w:rtl w:val="0"/>
          </w:rPr>
          <w:t xml:space="preserve">iron law of oligarchy</w:t>
        </w:r>
      </w:hyperlink>
      <w:r w:rsidDel="00000000" w:rsidR="00000000" w:rsidRPr="00000000">
        <w:rPr>
          <w:rFonts w:ascii="Times New Roman" w:cs="Times New Roman" w:eastAsia="Times New Roman" w:hAnsi="Times New Roman"/>
          <w:sz w:val="28"/>
          <w:szCs w:val="28"/>
          <w:rtl w:val="0"/>
        </w:rPr>
        <w:t xml:space="preserve">” argued that even mass socialist organizations in the 20th century inevitably became elitist as power centralized. This can also be seen in </w:t>
      </w:r>
      <w:hyperlink r:id="rId13">
        <w:r w:rsidDel="00000000" w:rsidR="00000000" w:rsidRPr="00000000">
          <w:rPr>
            <w:rFonts w:ascii="Times New Roman" w:cs="Times New Roman" w:eastAsia="Times New Roman" w:hAnsi="Times New Roman"/>
            <w:color w:val="1155cc"/>
            <w:sz w:val="28"/>
            <w:szCs w:val="28"/>
            <w:u w:val="single"/>
            <w:rtl w:val="0"/>
          </w:rPr>
          <w:t xml:space="preserve">modern populist movements</w:t>
        </w:r>
      </w:hyperlink>
      <w:r w:rsidDel="00000000" w:rsidR="00000000" w:rsidRPr="00000000">
        <w:rPr>
          <w:rFonts w:ascii="Times New Roman" w:cs="Times New Roman" w:eastAsia="Times New Roman" w:hAnsi="Times New Roman"/>
          <w:sz w:val="28"/>
          <w:szCs w:val="28"/>
          <w:rtl w:val="0"/>
        </w:rPr>
        <w:t xml:space="preserve">, where leaders attack established elites while consolidating and masking their own elite status.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word ‘elite’ comes from the French </w:t>
      </w:r>
      <w:r w:rsidDel="00000000" w:rsidR="00000000" w:rsidRPr="00000000">
        <w:rPr>
          <w:rFonts w:ascii="Times New Roman" w:cs="Times New Roman" w:eastAsia="Times New Roman" w:hAnsi="Times New Roman"/>
          <w:i w:val="1"/>
          <w:sz w:val="28"/>
          <w:szCs w:val="28"/>
          <w:rtl w:val="0"/>
        </w:rPr>
        <w:t xml:space="preserve">élite</w:t>
      </w:r>
      <w:r w:rsidDel="00000000" w:rsidR="00000000" w:rsidRPr="00000000">
        <w:rPr>
          <w:rFonts w:ascii="Times New Roman" w:cs="Times New Roman" w:eastAsia="Times New Roman" w:hAnsi="Times New Roman"/>
          <w:sz w:val="28"/>
          <w:szCs w:val="28"/>
          <w:rtl w:val="0"/>
        </w:rPr>
        <w:t xml:space="preserve">, meaning “</w:t>
      </w:r>
      <w:hyperlink r:id="rId14">
        <w:r w:rsidDel="00000000" w:rsidR="00000000" w:rsidRPr="00000000">
          <w:rPr>
            <w:rFonts w:ascii="Times New Roman" w:cs="Times New Roman" w:eastAsia="Times New Roman" w:hAnsi="Times New Roman"/>
            <w:color w:val="1155cc"/>
            <w:sz w:val="28"/>
            <w:szCs w:val="28"/>
            <w:u w:val="single"/>
            <w:rtl w:val="0"/>
          </w:rPr>
          <w:t xml:space="preserve">the chosen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in turn comes from the Latin </w:t>
      </w:r>
      <w:r w:rsidDel="00000000" w:rsidR="00000000" w:rsidRPr="00000000">
        <w:rPr>
          <w:rFonts w:ascii="Times New Roman" w:cs="Times New Roman" w:eastAsia="Times New Roman" w:hAnsi="Times New Roman"/>
          <w:i w:val="1"/>
          <w:sz w:val="28"/>
          <w:szCs w:val="28"/>
          <w:rtl w:val="0"/>
        </w:rPr>
        <w:t xml:space="preserve">eligere</w:t>
      </w:r>
      <w:r w:rsidDel="00000000" w:rsidR="00000000" w:rsidRPr="00000000">
        <w:rPr>
          <w:rFonts w:ascii="Times New Roman" w:cs="Times New Roman" w:eastAsia="Times New Roman" w:hAnsi="Times New Roman"/>
          <w:sz w:val="28"/>
          <w:szCs w:val="28"/>
          <w:rtl w:val="0"/>
        </w:rPr>
        <w:t xml:space="preserve">, meaning “</w:t>
      </w:r>
      <w:hyperlink r:id="rId15">
        <w:r w:rsidDel="00000000" w:rsidR="00000000" w:rsidRPr="00000000">
          <w:rPr>
            <w:rFonts w:ascii="Times New Roman" w:cs="Times New Roman" w:eastAsia="Times New Roman" w:hAnsi="Times New Roman"/>
            <w:color w:val="1155cc"/>
            <w:sz w:val="28"/>
            <w:szCs w:val="28"/>
            <w:u w:val="single"/>
            <w:rtl w:val="0"/>
          </w:rPr>
          <w:t xml:space="preserve">to choose</w:t>
        </w:r>
      </w:hyperlink>
      <w:r w:rsidDel="00000000" w:rsidR="00000000" w:rsidRPr="00000000">
        <w:rPr>
          <w:rFonts w:ascii="Times New Roman" w:cs="Times New Roman" w:eastAsia="Times New Roman" w:hAnsi="Times New Roman"/>
          <w:sz w:val="28"/>
          <w:szCs w:val="28"/>
          <w:rtl w:val="0"/>
        </w:rPr>
        <w:t xml:space="preserve">.” It has a number of different connotations, but each implies a group of people considered superior to others in a particular society. While the modern sociological concept of elites has evolved over the last century, how far </w:t>
      </w:r>
      <w:r w:rsidDel="00000000" w:rsidR="00000000" w:rsidRPr="00000000">
        <w:rPr>
          <w:rFonts w:ascii="Times New Roman" w:cs="Times New Roman" w:eastAsia="Times New Roman" w:hAnsi="Times New Roman"/>
          <w:sz w:val="28"/>
          <w:szCs w:val="28"/>
          <w:rtl w:val="0"/>
        </w:rPr>
        <w:t xml:space="preserve">back does the presence of an entrenched elite go, and w</w:t>
      </w:r>
      <w:r w:rsidDel="00000000" w:rsidR="00000000" w:rsidRPr="00000000">
        <w:rPr>
          <w:rFonts w:ascii="Times New Roman" w:cs="Times New Roman" w:eastAsia="Times New Roman" w:hAnsi="Times New Roman"/>
          <w:sz w:val="28"/>
          <w:szCs w:val="28"/>
          <w:rtl w:val="0"/>
        </w:rPr>
        <w:t xml:space="preserve">hat</w:t>
      </w:r>
      <w:r w:rsidDel="00000000" w:rsidR="00000000" w:rsidRPr="00000000">
        <w:rPr>
          <w:rFonts w:ascii="Times New Roman" w:cs="Times New Roman" w:eastAsia="Times New Roman" w:hAnsi="Times New Roman"/>
          <w:sz w:val="28"/>
          <w:szCs w:val="28"/>
          <w:rtl w:val="0"/>
        </w:rPr>
        <w:t xml:space="preserve"> are the conditions that generate them?</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Archaeologist Mehmet Özdoğan has argued that the historical record of elites dates back to some of the earliest farming communities in the Upper Euphrates and Upper Tigris</w:t>
      </w:r>
      <w:r w:rsidDel="00000000" w:rsidR="00000000" w:rsidRPr="00000000">
        <w:rPr>
          <w:rFonts w:ascii="Times New Roman" w:cs="Times New Roman" w:eastAsia="Times New Roman" w:hAnsi="Times New Roman"/>
          <w:sz w:val="28"/>
          <w:szCs w:val="28"/>
          <w:rtl w:val="0"/>
        </w:rPr>
        <w:t xml:space="preserve"> basins </w:t>
      </w:r>
      <w:hyperlink r:id="rId16">
        <w:r w:rsidDel="00000000" w:rsidR="00000000" w:rsidRPr="00000000">
          <w:rPr>
            <w:rFonts w:ascii="Times New Roman" w:cs="Times New Roman" w:eastAsia="Times New Roman" w:hAnsi="Times New Roman"/>
            <w:color w:val="1155cc"/>
            <w:sz w:val="28"/>
            <w:szCs w:val="28"/>
            <w:u w:val="single"/>
            <w:rtl w:val="0"/>
          </w:rPr>
          <w:t xml:space="preserve">between 10,500 and 7300 BC</w:t>
        </w:r>
      </w:hyperlink>
      <w:r w:rsidDel="00000000" w:rsidR="00000000" w:rsidRPr="00000000">
        <w:rPr>
          <w:rFonts w:ascii="Times New Roman" w:cs="Times New Roman" w:eastAsia="Times New Roman" w:hAnsi="Times New Roman"/>
          <w:sz w:val="28"/>
          <w:szCs w:val="28"/>
          <w:rtl w:val="0"/>
        </w:rPr>
        <w:t xml:space="preserve">. The Neolithic era would therefore mark not only the dawn of agriculture but also the rise of elites in human society. Understanding how these elite </w:t>
      </w:r>
      <w:r w:rsidDel="00000000" w:rsidR="00000000" w:rsidRPr="00000000">
        <w:rPr>
          <w:rFonts w:ascii="Times New Roman" w:cs="Times New Roman" w:eastAsia="Times New Roman" w:hAnsi="Times New Roman"/>
          <w:sz w:val="28"/>
          <w:szCs w:val="28"/>
          <w:rtl w:val="0"/>
        </w:rPr>
        <w:t xml:space="preserve">communities </w:t>
      </w:r>
      <w:r w:rsidDel="00000000" w:rsidR="00000000" w:rsidRPr="00000000">
        <w:rPr>
          <w:rFonts w:ascii="Times New Roman" w:cs="Times New Roman" w:eastAsia="Times New Roman" w:hAnsi="Times New Roman"/>
          <w:sz w:val="28"/>
          <w:szCs w:val="28"/>
          <w:rtl w:val="0"/>
        </w:rPr>
        <w:t xml:space="preserve">formed and sustained themselves provides context </w:t>
      </w:r>
      <w:r w:rsidDel="00000000" w:rsidR="00000000" w:rsidRPr="00000000">
        <w:rPr>
          <w:rFonts w:ascii="Times New Roman" w:cs="Times New Roman" w:eastAsia="Times New Roman" w:hAnsi="Times New Roman"/>
          <w:sz w:val="28"/>
          <w:szCs w:val="28"/>
          <w:rtl w:val="0"/>
        </w:rPr>
        <w:t xml:space="preserve">for</w:t>
      </w:r>
      <w:r w:rsidDel="00000000" w:rsidR="00000000" w:rsidRPr="00000000">
        <w:rPr>
          <w:rFonts w:ascii="Times New Roman" w:cs="Times New Roman" w:eastAsia="Times New Roman" w:hAnsi="Times New Roman"/>
          <w:sz w:val="28"/>
          <w:szCs w:val="28"/>
          <w:rtl w:val="0"/>
        </w:rPr>
        <w:t xml:space="preserve"> the economic and cultural systems governing us today.</w:t>
      </w:r>
    </w:p>
    <w:p w:rsidR="00000000" w:rsidDel="00000000" w:rsidP="00000000" w:rsidRDefault="00000000" w:rsidRPr="00000000" w14:paraId="0000000D">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Creating Inequality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Early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20th-century</w:t>
      </w:r>
      <w:r w:rsidDel="00000000" w:rsidR="00000000" w:rsidRPr="00000000">
        <w:rPr>
          <w:rFonts w:ascii="Times New Roman" w:cs="Times New Roman" w:eastAsia="Times New Roman" w:hAnsi="Times New Roman"/>
          <w:sz w:val="28"/>
          <w:szCs w:val="28"/>
          <w:rtl w:val="0"/>
        </w:rPr>
        <w:t xml:space="preserve"> archaeologist Vere Gordon Childe identified plant cultivation and animal domestication as key drivers of the Neolithic Revolution, </w:t>
      </w:r>
      <w:r w:rsidDel="00000000" w:rsidR="00000000" w:rsidRPr="00000000">
        <w:rPr>
          <w:rFonts w:ascii="Times New Roman" w:cs="Times New Roman" w:eastAsia="Times New Roman" w:hAnsi="Times New Roman"/>
          <w:sz w:val="28"/>
          <w:szCs w:val="28"/>
          <w:rtl w:val="0"/>
        </w:rPr>
        <w:t xml:space="preserve">which </w:t>
      </w:r>
      <w:r w:rsidDel="00000000" w:rsidR="00000000" w:rsidRPr="00000000">
        <w:rPr>
          <w:rFonts w:ascii="Times New Roman" w:cs="Times New Roman" w:eastAsia="Times New Roman" w:hAnsi="Times New Roman"/>
          <w:sz w:val="28"/>
          <w:szCs w:val="28"/>
          <w:rtl w:val="0"/>
        </w:rPr>
        <w:t xml:space="preserve">resulted in nomadic groups settling in villages. Mobile hunter-gatherers carried few possessions, but permanent settlement allowed accumulation. Agriculture produced storable surpluses that could be lent, redistributed, and used to consolidate power and increase dependence, while ox-drawn plows and other technologies further increased output, freeing some people from subsistence work and creating a labor class and an upper class to manage them.</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throughout the 20th century, </w:t>
      </w:r>
      <w:hyperlink r:id="rId17">
        <w:r w:rsidDel="00000000" w:rsidR="00000000" w:rsidRPr="00000000">
          <w:rPr>
            <w:rFonts w:ascii="Times New Roman" w:cs="Times New Roman" w:eastAsia="Times New Roman" w:hAnsi="Times New Roman"/>
            <w:color w:val="1155cc"/>
            <w:sz w:val="28"/>
            <w:szCs w:val="28"/>
            <w:u w:val="single"/>
            <w:rtl w:val="0"/>
          </w:rPr>
          <w:t xml:space="preserve">growing evidence</w:t>
        </w:r>
      </w:hyperlink>
      <w:r w:rsidDel="00000000" w:rsidR="00000000" w:rsidRPr="00000000">
        <w:rPr>
          <w:rFonts w:ascii="Times New Roman" w:cs="Times New Roman" w:eastAsia="Times New Roman" w:hAnsi="Times New Roman"/>
          <w:sz w:val="28"/>
          <w:szCs w:val="28"/>
          <w:rtl w:val="0"/>
        </w:rPr>
        <w:t xml:space="preserve"> suggested that people often settled first and only later developed agriculture, with the transition occurring slowly and unevenly over thousands of years.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elites did not form overnight. Comparatively egalitarian, sedentary communities such as Çatalhöyük, not far from the Upper Euphrates and Tigris, </w:t>
      </w:r>
      <w:hyperlink r:id="rId18">
        <w:r w:rsidDel="00000000" w:rsidR="00000000" w:rsidRPr="00000000">
          <w:rPr>
            <w:rFonts w:ascii="Times New Roman" w:cs="Times New Roman" w:eastAsia="Times New Roman" w:hAnsi="Times New Roman"/>
            <w:color w:val="1155cc"/>
            <w:sz w:val="28"/>
            <w:szCs w:val="28"/>
            <w:u w:val="single"/>
            <w:rtl w:val="0"/>
          </w:rPr>
          <w:t xml:space="preserve">thrived between</w:t>
        </w:r>
      </w:hyperlink>
      <w:r w:rsidDel="00000000" w:rsidR="00000000" w:rsidRPr="00000000">
        <w:rPr>
          <w:rFonts w:ascii="Times New Roman" w:cs="Times New Roman" w:eastAsia="Times New Roman" w:hAnsi="Times New Roman"/>
          <w:sz w:val="28"/>
          <w:szCs w:val="28"/>
          <w:rtl w:val="0"/>
        </w:rPr>
        <w:t xml:space="preserve"> 7400 BC and 5600 BC without entrenched hierarchies. “In this city, which was founded by our ancestors 9,000 years ago, the houses were built back-to-back, with no streets in between. … It is generally believed that this unique layout at Çatalhöyük reflects the ideal of equality between people in the Neolithic period. There is no design that indicates a hierarchy in the structures,” </w:t>
      </w:r>
      <w:hyperlink r:id="rId19">
        <w:r w:rsidDel="00000000" w:rsidR="00000000" w:rsidRPr="00000000">
          <w:rPr>
            <w:rFonts w:ascii="Times New Roman" w:cs="Times New Roman" w:eastAsia="Times New Roman" w:hAnsi="Times New Roman"/>
            <w:color w:val="1155cc"/>
            <w:sz w:val="28"/>
            <w:szCs w:val="28"/>
            <w:u w:val="single"/>
            <w:rtl w:val="0"/>
          </w:rPr>
          <w:t xml:space="preserve">points out</w:t>
        </w:r>
      </w:hyperlink>
      <w:r w:rsidDel="00000000" w:rsidR="00000000" w:rsidRPr="00000000">
        <w:rPr>
          <w:rFonts w:ascii="Times New Roman" w:cs="Times New Roman" w:eastAsia="Times New Roman" w:hAnsi="Times New Roman"/>
          <w:sz w:val="28"/>
          <w:szCs w:val="28"/>
          <w:rtl w:val="0"/>
        </w:rPr>
        <w:t xml:space="preserve"> the Turkish Museums website.</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Earlier hints of inequality had meanwhile appeared among the </w:t>
      </w:r>
      <w:hyperlink r:id="rId20">
        <w:r w:rsidDel="00000000" w:rsidR="00000000" w:rsidRPr="00000000">
          <w:rPr>
            <w:rFonts w:ascii="Times New Roman" w:cs="Times New Roman" w:eastAsia="Times New Roman" w:hAnsi="Times New Roman"/>
            <w:color w:val="1155cc"/>
            <w:sz w:val="28"/>
            <w:szCs w:val="28"/>
            <w:u w:val="single"/>
            <w:rtl w:val="0"/>
          </w:rPr>
          <w:t xml:space="preserve">Natufians in the southern Levant</w:t>
        </w:r>
      </w:hyperlink>
      <w:r w:rsidDel="00000000" w:rsidR="00000000" w:rsidRPr="00000000">
        <w:rPr>
          <w:rFonts w:ascii="Times New Roman" w:cs="Times New Roman" w:eastAsia="Times New Roman" w:hAnsi="Times New Roman"/>
          <w:sz w:val="28"/>
          <w:szCs w:val="28"/>
          <w:rtl w:val="0"/>
        </w:rPr>
        <w:t xml:space="preserve">, with their elaborate burials, and in </w:t>
      </w:r>
      <w:hyperlink r:id="rId21">
        <w:r w:rsidDel="00000000" w:rsidR="00000000" w:rsidRPr="00000000">
          <w:rPr>
            <w:rFonts w:ascii="Times New Roman" w:cs="Times New Roman" w:eastAsia="Times New Roman" w:hAnsi="Times New Roman"/>
            <w:color w:val="1155cc"/>
            <w:sz w:val="28"/>
            <w:szCs w:val="28"/>
            <w:u w:val="single"/>
            <w:rtl w:val="0"/>
          </w:rPr>
          <w:t xml:space="preserve">Göbekli Tepe</w:t>
        </w:r>
      </w:hyperlink>
      <w:r w:rsidDel="00000000" w:rsidR="00000000" w:rsidRPr="00000000">
        <w:rPr>
          <w:rFonts w:ascii="Times New Roman" w:cs="Times New Roman" w:eastAsia="Times New Roman" w:hAnsi="Times New Roman"/>
          <w:sz w:val="28"/>
          <w:szCs w:val="28"/>
          <w:rtl w:val="0"/>
        </w:rPr>
        <w:t xml:space="preserve"> with its monumental sites and division of labor, but without concrete evidence of long-term elite entrenchment.</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Mehmet Özdoğan, systemic elitism began to take root in the Upper Euphrates and Tigris region around </w:t>
      </w:r>
      <w:hyperlink r:id="rId22">
        <w:r w:rsidDel="00000000" w:rsidR="00000000" w:rsidRPr="00000000">
          <w:rPr>
            <w:rFonts w:ascii="Times New Roman" w:cs="Times New Roman" w:eastAsia="Times New Roman" w:hAnsi="Times New Roman"/>
            <w:color w:val="1155cc"/>
            <w:sz w:val="28"/>
            <w:szCs w:val="28"/>
            <w:u w:val="single"/>
            <w:rtl w:val="0"/>
          </w:rPr>
          <w:t xml:space="preserve">10,500 BC onward</w:t>
        </w:r>
      </w:hyperlink>
      <w:r w:rsidDel="00000000" w:rsidR="00000000" w:rsidRPr="00000000">
        <w:rPr>
          <w:rFonts w:ascii="Times New Roman" w:cs="Times New Roman" w:eastAsia="Times New Roman" w:hAnsi="Times New Roman"/>
          <w:sz w:val="28"/>
          <w:szCs w:val="28"/>
          <w:rtl w:val="0"/>
        </w:rPr>
        <w:t xml:space="preserve">. Archaeological evidence from the period has revealed larger houses for certain families, as well as more elaborate burials, access to prestige goods, and the use of resources like lime to make </w:t>
      </w:r>
      <w:hyperlink r:id="rId23">
        <w:r w:rsidDel="00000000" w:rsidR="00000000" w:rsidRPr="00000000">
          <w:rPr>
            <w:rFonts w:ascii="Times New Roman" w:cs="Times New Roman" w:eastAsia="Times New Roman" w:hAnsi="Times New Roman"/>
            <w:color w:val="1155cc"/>
            <w:sz w:val="28"/>
            <w:szCs w:val="28"/>
            <w:u w:val="single"/>
            <w:rtl w:val="0"/>
          </w:rPr>
          <w:t xml:space="preserve">terrazzo floors</w:t>
        </w:r>
      </w:hyperlink>
      <w:r w:rsidDel="00000000" w:rsidR="00000000" w:rsidRPr="00000000">
        <w:rPr>
          <w:rFonts w:ascii="Times New Roman" w:cs="Times New Roman" w:eastAsia="Times New Roman" w:hAnsi="Times New Roman"/>
          <w:sz w:val="28"/>
          <w:szCs w:val="28"/>
          <w:rtl w:val="0"/>
        </w:rPr>
        <w:t xml:space="preserve">. Elements resembling </w:t>
      </w:r>
      <w:hyperlink r:id="rId24">
        <w:r w:rsidDel="00000000" w:rsidR="00000000" w:rsidRPr="00000000">
          <w:rPr>
            <w:rFonts w:ascii="Times New Roman" w:cs="Times New Roman" w:eastAsia="Times New Roman" w:hAnsi="Times New Roman"/>
            <w:color w:val="1155cc"/>
            <w:sz w:val="28"/>
            <w:szCs w:val="28"/>
            <w:u w:val="single"/>
            <w:rtl w:val="0"/>
          </w:rPr>
          <w:t xml:space="preserve">land ownership</w:t>
        </w:r>
      </w:hyperlink>
      <w:r w:rsidDel="00000000" w:rsidR="00000000" w:rsidRPr="00000000">
        <w:rPr>
          <w:rFonts w:ascii="Times New Roman" w:cs="Times New Roman" w:eastAsia="Times New Roman" w:hAnsi="Times New Roman"/>
          <w:sz w:val="28"/>
          <w:szCs w:val="28"/>
          <w:rtl w:val="0"/>
        </w:rPr>
        <w:t xml:space="preserve"> and </w:t>
      </w:r>
      <w:hyperlink r:id="rId25">
        <w:r w:rsidDel="00000000" w:rsidR="00000000" w:rsidRPr="00000000">
          <w:rPr>
            <w:rFonts w:ascii="Times New Roman" w:cs="Times New Roman" w:eastAsia="Times New Roman" w:hAnsi="Times New Roman"/>
            <w:color w:val="1155cc"/>
            <w:sz w:val="28"/>
            <w:szCs w:val="28"/>
            <w:u w:val="single"/>
            <w:rtl w:val="0"/>
          </w:rPr>
          <w:t xml:space="preserve">segregated housing</w:t>
        </w:r>
      </w:hyperlink>
      <w:r w:rsidDel="00000000" w:rsidR="00000000" w:rsidRPr="00000000">
        <w:rPr>
          <w:rFonts w:ascii="Times New Roman" w:cs="Times New Roman" w:eastAsia="Times New Roman" w:hAnsi="Times New Roman"/>
          <w:sz w:val="28"/>
          <w:szCs w:val="28"/>
          <w:rtl w:val="0"/>
        </w:rPr>
        <w:t xml:space="preserve"> were similarly documented.</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a </w:t>
      </w:r>
      <w:hyperlink r:id="rId26">
        <w:r w:rsidDel="00000000" w:rsidR="00000000" w:rsidRPr="00000000">
          <w:rPr>
            <w:rFonts w:ascii="Times New Roman" w:cs="Times New Roman" w:eastAsia="Times New Roman" w:hAnsi="Times New Roman"/>
            <w:color w:val="1155cc"/>
            <w:sz w:val="28"/>
            <w:szCs w:val="28"/>
            <w:u w:val="single"/>
            <w:rtl w:val="0"/>
          </w:rPr>
          <w:t xml:space="preserve">chapter</w:t>
        </w:r>
      </w:hyperlink>
      <w:r w:rsidDel="00000000" w:rsidR="00000000" w:rsidRPr="00000000">
        <w:rPr>
          <w:rFonts w:ascii="Times New Roman" w:cs="Times New Roman" w:eastAsia="Times New Roman" w:hAnsi="Times New Roman"/>
          <w:sz w:val="28"/>
          <w:szCs w:val="28"/>
          <w:rtl w:val="0"/>
        </w:rPr>
        <w:t xml:space="preserve"> written by Özdoğan in the book </w:t>
      </w:r>
      <w:hyperlink r:id="rId27">
        <w:r w:rsidDel="00000000" w:rsidR="00000000" w:rsidRPr="00000000">
          <w:rPr>
            <w:rFonts w:ascii="Times New Roman" w:cs="Times New Roman" w:eastAsia="Times New Roman" w:hAnsi="Times New Roman"/>
            <w:i w:val="1"/>
            <w:color w:val="1155cc"/>
            <w:sz w:val="28"/>
            <w:szCs w:val="28"/>
            <w:u w:val="single"/>
            <w:rtl w:val="0"/>
          </w:rPr>
          <w:t xml:space="preserve">Human Societies Facing Climate Change</w:t>
        </w:r>
      </w:hyperlink>
      <w:r w:rsidDel="00000000" w:rsidR="00000000" w:rsidRPr="00000000">
        <w:rPr>
          <w:rFonts w:ascii="Times New Roman" w:cs="Times New Roman" w:eastAsia="Times New Roman" w:hAnsi="Times New Roman"/>
          <w:sz w:val="28"/>
          <w:szCs w:val="28"/>
          <w:rtl w:val="0"/>
        </w:rPr>
        <w:t xml:space="preserve">, Pre-Pottery Neolithic sites in the Upper Euphrates-Upper Tigris region reveal “vast amounts of objects that are too elaborate to be of an unpretentious community, presenting great variety, high levels of craftsmanship and the artistic touch of exceptional refinement. … it seems more than evident that there must have been an elite competitiveness leading to careful selection not only of skilled craftsmen but also those of artistic talents.”</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these status objects, elite preferences began to shape cultural norms and tastes, a pattern that </w:t>
      </w:r>
      <w:hyperlink r:id="rId28">
        <w:r w:rsidDel="00000000" w:rsidR="00000000" w:rsidRPr="00000000">
          <w:rPr>
            <w:rFonts w:ascii="Times New Roman" w:cs="Times New Roman" w:eastAsia="Times New Roman" w:hAnsi="Times New Roman"/>
            <w:color w:val="1155cc"/>
            <w:sz w:val="28"/>
            <w:szCs w:val="28"/>
            <w:u w:val="single"/>
            <w:rtl w:val="0"/>
          </w:rPr>
          <w:t xml:space="preserve">later sociologists</w:t>
        </w:r>
      </w:hyperlink>
      <w:r w:rsidDel="00000000" w:rsidR="00000000" w:rsidRPr="00000000">
        <w:rPr>
          <w:rFonts w:ascii="Times New Roman" w:cs="Times New Roman" w:eastAsia="Times New Roman" w:hAnsi="Times New Roman"/>
          <w:sz w:val="28"/>
          <w:szCs w:val="28"/>
          <w:rtl w:val="0"/>
        </w:rPr>
        <w:t xml:space="preserve"> would </w:t>
      </w:r>
      <w:r w:rsidDel="00000000" w:rsidR="00000000" w:rsidRPr="00000000">
        <w:rPr>
          <w:rFonts w:ascii="Times New Roman" w:cs="Times New Roman" w:eastAsia="Times New Roman" w:hAnsi="Times New Roman"/>
          <w:sz w:val="28"/>
          <w:szCs w:val="28"/>
          <w:rtl w:val="0"/>
        </w:rPr>
        <w:t xml:space="preserve">find </w:t>
      </w:r>
      <w:r w:rsidDel="00000000" w:rsidR="00000000" w:rsidRPr="00000000">
        <w:rPr>
          <w:rFonts w:ascii="Times New Roman" w:cs="Times New Roman" w:eastAsia="Times New Roman" w:hAnsi="Times New Roman"/>
          <w:sz w:val="28"/>
          <w:szCs w:val="28"/>
          <w:rtl w:val="0"/>
        </w:rPr>
        <w:t xml:space="preserve">among other upper-status groups. By promoting collective beliefs in the importance of certain styles, skills, or objects, elites reinforced their exclusive position and defined what society considered valuable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material wealth, inequality in early societies appears reinforced by religion and ritual. Even among nomadic or sedentary egalitarian groups, </w:t>
      </w:r>
      <w:hyperlink r:id="rId29">
        <w:r w:rsidDel="00000000" w:rsidR="00000000" w:rsidRPr="00000000">
          <w:rPr>
            <w:rFonts w:ascii="Times New Roman" w:cs="Times New Roman" w:eastAsia="Times New Roman" w:hAnsi="Times New Roman"/>
            <w:color w:val="1155cc"/>
            <w:sz w:val="28"/>
            <w:szCs w:val="28"/>
            <w:u w:val="single"/>
            <w:rtl w:val="0"/>
          </w:rPr>
          <w:t xml:space="preserve">shared ceremonial practices existed</w:t>
        </w:r>
      </w:hyperlink>
      <w:r w:rsidDel="00000000" w:rsidR="00000000" w:rsidRPr="00000000">
        <w:rPr>
          <w:rFonts w:ascii="Times New Roman" w:cs="Times New Roman" w:eastAsia="Times New Roman" w:hAnsi="Times New Roman"/>
          <w:sz w:val="28"/>
          <w:szCs w:val="28"/>
          <w:rtl w:val="0"/>
        </w:rPr>
        <w:t xml:space="preserve">, but were generally not monopolized by a ruling class. In the Upper Euphrates and Tigris regions, however, Özdoğan notes, “</w:t>
      </w:r>
      <w:hyperlink r:id="rId30">
        <w:r w:rsidDel="00000000" w:rsidR="00000000" w:rsidRPr="00000000">
          <w:rPr>
            <w:rFonts w:ascii="Times New Roman" w:cs="Times New Roman" w:eastAsia="Times New Roman" w:hAnsi="Times New Roman"/>
            <w:color w:val="1155cc"/>
            <w:sz w:val="28"/>
            <w:szCs w:val="28"/>
            <w:u w:val="single"/>
            <w:rtl w:val="0"/>
          </w:rPr>
          <w:t xml:space="preserve">there is growing</w:t>
        </w:r>
      </w:hyperlink>
      <w:r w:rsidDel="00000000" w:rsidR="00000000" w:rsidRPr="00000000">
        <w:rPr>
          <w:rFonts w:ascii="Times New Roman" w:cs="Times New Roman" w:eastAsia="Times New Roman" w:hAnsi="Times New Roman"/>
          <w:sz w:val="28"/>
          <w:szCs w:val="28"/>
          <w:rtl w:val="0"/>
        </w:rPr>
        <w:t xml:space="preserve"> evidence for dominant governance by spiritual leaders.” By controlling ritual and ideology, these elites positioned themselves as intermediaries with the spiritual world, granting them authority over ceremonies, sacred spaces, and symbols. </w:t>
      </w:r>
      <w:hyperlink r:id="rId31">
        <w:r w:rsidDel="00000000" w:rsidR="00000000" w:rsidRPr="00000000">
          <w:rPr>
            <w:rFonts w:ascii="Times New Roman" w:cs="Times New Roman" w:eastAsia="Times New Roman" w:hAnsi="Times New Roman"/>
            <w:color w:val="1155cc"/>
            <w:sz w:val="28"/>
            <w:szCs w:val="28"/>
            <w:u w:val="single"/>
            <w:rtl w:val="0"/>
          </w:rPr>
          <w:t xml:space="preserve">Feasts</w:t>
        </w:r>
      </w:hyperlink>
      <w:r w:rsidDel="00000000" w:rsidR="00000000" w:rsidRPr="00000000">
        <w:rPr>
          <w:rFonts w:ascii="Times New Roman" w:cs="Times New Roman" w:eastAsia="Times New Roman" w:hAnsi="Times New Roman"/>
          <w:sz w:val="28"/>
          <w:szCs w:val="28"/>
          <w:rtl w:val="0"/>
        </w:rPr>
        <w:t xml:space="preserve">, harvest celebrations, and </w:t>
      </w:r>
      <w:hyperlink r:id="rId32">
        <w:r w:rsidDel="00000000" w:rsidR="00000000" w:rsidRPr="00000000">
          <w:rPr>
            <w:rFonts w:ascii="Times New Roman" w:cs="Times New Roman" w:eastAsia="Times New Roman" w:hAnsi="Times New Roman"/>
            <w:color w:val="1155cc"/>
            <w:sz w:val="28"/>
            <w:szCs w:val="28"/>
            <w:u w:val="single"/>
            <w:rtl w:val="0"/>
          </w:rPr>
          <w:t xml:space="preserve">burial rites</w:t>
        </w:r>
      </w:hyperlink>
      <w:r w:rsidDel="00000000" w:rsidR="00000000" w:rsidRPr="00000000">
        <w:rPr>
          <w:rFonts w:ascii="Times New Roman" w:cs="Times New Roman" w:eastAsia="Times New Roman" w:hAnsi="Times New Roman"/>
          <w:sz w:val="28"/>
          <w:szCs w:val="28"/>
          <w:rtl w:val="0"/>
        </w:rPr>
        <w:t xml:space="preserve"> became tools to legitimize power through divine sanction.</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spiritual and cultural hierarchies legitimized elite status, with modern sociological theory expanding on this. Max Weber </w:t>
      </w:r>
      <w:hyperlink r:id="rId33">
        <w:r w:rsidDel="00000000" w:rsidR="00000000" w:rsidRPr="00000000">
          <w:rPr>
            <w:rFonts w:ascii="Times New Roman" w:cs="Times New Roman" w:eastAsia="Times New Roman" w:hAnsi="Times New Roman"/>
            <w:color w:val="1155cc"/>
            <w:sz w:val="28"/>
            <w:szCs w:val="28"/>
            <w:u w:val="single"/>
            <w:rtl w:val="0"/>
          </w:rPr>
          <w:t xml:space="preserve">distinguished</w:t>
        </w:r>
      </w:hyperlink>
      <w:r w:rsidDel="00000000" w:rsidR="00000000" w:rsidRPr="00000000">
        <w:rPr>
          <w:rFonts w:ascii="Times New Roman" w:cs="Times New Roman" w:eastAsia="Times New Roman" w:hAnsi="Times New Roman"/>
          <w:sz w:val="28"/>
          <w:szCs w:val="28"/>
          <w:rtl w:val="0"/>
        </w:rPr>
        <w:t xml:space="preserve"> class based on resources, power based on rule, and status based on recognition</w:t>
      </w:r>
      <w:r w:rsidDel="00000000" w:rsidR="00000000" w:rsidRPr="00000000">
        <w:rPr>
          <w:rFonts w:ascii="Times New Roman" w:cs="Times New Roman" w:eastAsia="Times New Roman" w:hAnsi="Times New Roman"/>
          <w:sz w:val="28"/>
          <w:szCs w:val="28"/>
          <w:rtl w:val="0"/>
        </w:rPr>
        <w:t xml:space="preserve">, noting that status could not be seized and was based on others’ recognition, helping solidify elite positions even in egalitarian societies. Sociologist </w:t>
      </w:r>
      <w:hyperlink r:id="rId34">
        <w:r w:rsidDel="00000000" w:rsidR="00000000" w:rsidRPr="00000000">
          <w:rPr>
            <w:rFonts w:ascii="Times New Roman" w:cs="Times New Roman" w:eastAsia="Times New Roman" w:hAnsi="Times New Roman"/>
            <w:color w:val="1155cc"/>
            <w:sz w:val="28"/>
            <w:szCs w:val="28"/>
            <w:u w:val="single"/>
            <w:rtl w:val="0"/>
          </w:rPr>
          <w:t xml:space="preserve">Pierre Bourdieu also notes</w:t>
        </w:r>
      </w:hyperlink>
      <w:r w:rsidDel="00000000" w:rsidR="00000000" w:rsidRPr="00000000">
        <w:rPr>
          <w:rFonts w:ascii="Times New Roman" w:cs="Times New Roman" w:eastAsia="Times New Roman" w:hAnsi="Times New Roman"/>
          <w:sz w:val="28"/>
          <w:szCs w:val="28"/>
          <w:rtl w:val="0"/>
        </w:rPr>
        <w:t xml:space="preserve"> how</w:t>
      </w:r>
      <w:r w:rsidDel="00000000" w:rsidR="00000000" w:rsidRPr="00000000">
        <w:rPr>
          <w:rFonts w:ascii="Times New Roman" w:cs="Times New Roman" w:eastAsia="Times New Roman" w:hAnsi="Times New Roman"/>
          <w:sz w:val="28"/>
          <w:szCs w:val="28"/>
          <w:rtl w:val="0"/>
        </w:rPr>
        <w:t xml:space="preserve"> celebrated tastes, skills, and knowledge reinforce elite authority.</w:t>
      </w:r>
    </w:p>
    <w:p w:rsidR="00000000" w:rsidDel="00000000" w:rsidP="00000000" w:rsidRDefault="00000000" w:rsidRPr="00000000" w14:paraId="0000001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Where Social Elites Came From</w:t>
      </w:r>
      <w:r w:rsidDel="00000000" w:rsidR="00000000" w:rsidRPr="00000000">
        <w:rPr>
          <w:rtl w:val="0"/>
        </w:rPr>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Upper Euphrates and Tigris regions, the earliest elites were not kings or bureaucrats, but those who controlled resources, cultural </w:t>
      </w:r>
      <w:r w:rsidDel="00000000" w:rsidR="00000000" w:rsidRPr="00000000">
        <w:rPr>
          <w:rFonts w:ascii="Times New Roman" w:cs="Times New Roman" w:eastAsia="Times New Roman" w:hAnsi="Times New Roman"/>
          <w:sz w:val="28"/>
          <w:szCs w:val="28"/>
          <w:rtl w:val="0"/>
        </w:rPr>
        <w:t xml:space="preserve">tastes,</w:t>
      </w:r>
      <w:r w:rsidDel="00000000" w:rsidR="00000000" w:rsidRPr="00000000">
        <w:rPr>
          <w:rFonts w:ascii="Times New Roman" w:cs="Times New Roman" w:eastAsia="Times New Roman" w:hAnsi="Times New Roman"/>
          <w:sz w:val="28"/>
          <w:szCs w:val="28"/>
          <w:rtl w:val="0"/>
        </w:rPr>
        <w:t xml:space="preserve"> and rituals. Wealth and goods gave them leverage, but legitimacy also came from cultural hierarchies. In these early societies, culturally sanctioned preferences and religious rituals anchored elite power through social legitimacy, complementing their material wealth.</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communities resisted early hierarchies by splitting off to </w:t>
      </w:r>
      <w:hyperlink r:id="rId35">
        <w:r w:rsidDel="00000000" w:rsidR="00000000" w:rsidRPr="00000000">
          <w:rPr>
            <w:rFonts w:ascii="Times New Roman" w:cs="Times New Roman" w:eastAsia="Times New Roman" w:hAnsi="Times New Roman"/>
            <w:color w:val="1155cc"/>
            <w:sz w:val="28"/>
            <w:szCs w:val="28"/>
            <w:u w:val="single"/>
            <w:rtl w:val="0"/>
          </w:rPr>
          <w:t xml:space="preserve">form new settlements</w:t>
        </w:r>
      </w:hyperlink>
      <w:r w:rsidDel="00000000" w:rsidR="00000000" w:rsidRPr="00000000">
        <w:rPr>
          <w:rFonts w:ascii="Times New Roman" w:cs="Times New Roman" w:eastAsia="Times New Roman" w:hAnsi="Times New Roman"/>
          <w:sz w:val="28"/>
          <w:szCs w:val="28"/>
          <w:rtl w:val="0"/>
        </w:rPr>
        <w:t xml:space="preserve"> free of old hierarchies, but over time, new elite structures were created and spread elsewhere.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Anthropologist Cathy Costin points to craft specialization in Iraq at </w:t>
      </w:r>
      <w:hyperlink r:id="rId36">
        <w:r w:rsidDel="00000000" w:rsidR="00000000" w:rsidRPr="00000000">
          <w:rPr>
            <w:rFonts w:ascii="Times New Roman" w:cs="Times New Roman" w:eastAsia="Times New Roman" w:hAnsi="Times New Roman"/>
            <w:color w:val="1155cc"/>
            <w:sz w:val="28"/>
            <w:szCs w:val="28"/>
            <w:u w:val="single"/>
            <w:rtl w:val="0"/>
          </w:rPr>
          <w:t xml:space="preserve">Bestansur</w:t>
        </w:r>
      </w:hyperlink>
      <w:r w:rsidDel="00000000" w:rsidR="00000000" w:rsidRPr="00000000">
        <w:rPr>
          <w:rFonts w:ascii="Times New Roman" w:cs="Times New Roman" w:eastAsia="Times New Roman" w:hAnsi="Times New Roman"/>
          <w:sz w:val="28"/>
          <w:szCs w:val="28"/>
          <w:rtl w:val="0"/>
        </w:rPr>
        <w:t xml:space="preserve"> between 7600 BC and 7100 BC, </w:t>
      </w:r>
      <w:r w:rsidDel="00000000" w:rsidR="00000000" w:rsidRPr="00000000">
        <w:rPr>
          <w:rFonts w:ascii="Times New Roman" w:cs="Times New Roman" w:eastAsia="Times New Roman" w:hAnsi="Times New Roman"/>
          <w:sz w:val="28"/>
          <w:szCs w:val="28"/>
          <w:rtl w:val="0"/>
        </w:rPr>
        <w:t xml:space="preserve">likely serving elites. A painted fragment </w:t>
      </w:r>
      <w:hyperlink r:id="rId37">
        <w:r w:rsidDel="00000000" w:rsidR="00000000" w:rsidRPr="00000000">
          <w:rPr>
            <w:rFonts w:ascii="Times New Roman" w:cs="Times New Roman" w:eastAsia="Times New Roman" w:hAnsi="Times New Roman"/>
            <w:color w:val="1155cc"/>
            <w:sz w:val="28"/>
            <w:szCs w:val="28"/>
            <w:u w:val="single"/>
            <w:rtl w:val="0"/>
          </w:rPr>
          <w:t xml:space="preserve">found in Teleilat Ghassul</w:t>
        </w:r>
      </w:hyperlink>
      <w:r w:rsidDel="00000000" w:rsidR="00000000" w:rsidRPr="00000000">
        <w:rPr>
          <w:rFonts w:ascii="Times New Roman" w:cs="Times New Roman" w:eastAsia="Times New Roman" w:hAnsi="Times New Roman"/>
          <w:sz w:val="28"/>
          <w:szCs w:val="28"/>
          <w:rtl w:val="0"/>
        </w:rPr>
        <w:t xml:space="preserve"> in modern-day Jordan, dated roughly 4500 BC, </w:t>
      </w:r>
      <w:r w:rsidDel="00000000" w:rsidR="00000000" w:rsidRPr="00000000">
        <w:rPr>
          <w:rFonts w:ascii="Times New Roman" w:cs="Times New Roman" w:eastAsia="Times New Roman" w:hAnsi="Times New Roman"/>
          <w:sz w:val="28"/>
          <w:szCs w:val="28"/>
          <w:rtl w:val="0"/>
        </w:rPr>
        <w:t xml:space="preserve">shows two pairs of feet on footstools, one </w:t>
      </w:r>
      <w:r w:rsidDel="00000000" w:rsidR="00000000" w:rsidRPr="00000000">
        <w:rPr>
          <w:rFonts w:ascii="Times New Roman" w:cs="Times New Roman" w:eastAsia="Times New Roman" w:hAnsi="Times New Roman"/>
          <w:sz w:val="28"/>
          <w:szCs w:val="28"/>
          <w:rtl w:val="0"/>
        </w:rPr>
        <w:t xml:space="preserve">elaborately sandaled, </w:t>
      </w:r>
      <w:r w:rsidDel="00000000" w:rsidR="00000000" w:rsidRPr="00000000">
        <w:rPr>
          <w:rFonts w:ascii="Times New Roman" w:cs="Times New Roman" w:eastAsia="Times New Roman" w:hAnsi="Times New Roman"/>
          <w:sz w:val="28"/>
          <w:szCs w:val="28"/>
          <w:rtl w:val="0"/>
        </w:rPr>
        <w:t xml:space="preserve">while other figures appear to be standing. “The fragmentary scene is of considerable significance… archaeologically, as it provides evidence of social ranking,” </w:t>
      </w:r>
      <w:hyperlink r:id="rId3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journal Arts, and may have portrayed “worshippers paying homage to a divine couple or a priest and priestess in a cultic ritual.” </w:t>
      </w:r>
      <w:r w:rsidDel="00000000" w:rsidR="00000000" w:rsidRPr="00000000">
        <w:rPr>
          <w:rFonts w:ascii="Times New Roman" w:cs="Times New Roman" w:eastAsia="Times New Roman" w:hAnsi="Times New Roman"/>
          <w:sz w:val="28"/>
          <w:szCs w:val="28"/>
          <w:rtl w:val="0"/>
        </w:rPr>
        <w:t xml:space="preserve">Similar finds in En Gedi, Nahal Mishmar, and Ghassul indicate priesthoods or ritual specialists consolidating authority.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Elaborate burials and ornaments </w:t>
      </w:r>
      <w:hyperlink r:id="rId39">
        <w:r w:rsidDel="00000000" w:rsidR="00000000" w:rsidRPr="00000000">
          <w:rPr>
            <w:rFonts w:ascii="Times New Roman" w:cs="Times New Roman" w:eastAsia="Times New Roman" w:hAnsi="Times New Roman"/>
            <w:color w:val="1155cc"/>
            <w:sz w:val="28"/>
            <w:szCs w:val="28"/>
            <w:u w:val="single"/>
            <w:rtl w:val="0"/>
          </w:rPr>
          <w:t xml:space="preserve">in Thailand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dating back to 3600 BC, meanwhile, show comparable social hierarchies. Simultaneously in Europe, increased weapon production suggests elites were consolidating power and </w:t>
      </w:r>
      <w:hyperlink r:id="rId40">
        <w:r w:rsidDel="00000000" w:rsidR="00000000" w:rsidRPr="00000000">
          <w:rPr>
            <w:rFonts w:ascii="Times New Roman" w:cs="Times New Roman" w:eastAsia="Times New Roman" w:hAnsi="Times New Roman"/>
            <w:color w:val="1155cc"/>
            <w:sz w:val="28"/>
            <w:szCs w:val="28"/>
            <w:u w:val="single"/>
            <w:rtl w:val="0"/>
          </w:rPr>
          <w:t xml:space="preserve">protecting accumulated wealth</w:t>
        </w:r>
      </w:hyperlink>
      <w:r w:rsidDel="00000000" w:rsidR="00000000" w:rsidRPr="00000000">
        <w:rPr>
          <w:rFonts w:ascii="Times New Roman" w:cs="Times New Roman" w:eastAsia="Times New Roman" w:hAnsi="Times New Roman"/>
          <w:sz w:val="28"/>
          <w:szCs w:val="28"/>
          <w:rtl w:val="0"/>
        </w:rPr>
        <w:t xml:space="preserve"> as their governance systems spread</w:t>
      </w:r>
      <w:r w:rsidDel="00000000" w:rsidR="00000000" w:rsidRPr="00000000">
        <w:rPr>
          <w:rFonts w:ascii="Times New Roman" w:cs="Times New Roman" w:eastAsia="Times New Roman" w:hAnsi="Times New Roman"/>
          <w:sz w:val="28"/>
          <w:szCs w:val="28"/>
          <w:rtl w:val="0"/>
        </w:rPr>
        <w:t xml:space="preserve"> </w:t>
      </w:r>
      <w:hyperlink r:id="rId41">
        <w:r w:rsidDel="00000000" w:rsidR="00000000" w:rsidRPr="00000000">
          <w:rPr>
            <w:rFonts w:ascii="Times New Roman" w:cs="Times New Roman" w:eastAsia="Times New Roman" w:hAnsi="Times New Roman"/>
            <w:color w:val="1155cc"/>
            <w:sz w:val="28"/>
            <w:szCs w:val="28"/>
            <w:u w:val="single"/>
            <w:rtl w:val="0"/>
          </w:rPr>
          <w:t xml:space="preserve">across the continent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resources depleted and groups expanded, conflict and conquest spread </w:t>
      </w:r>
      <w:hyperlink r:id="rId42">
        <w:r w:rsidDel="00000000" w:rsidR="00000000" w:rsidRPr="00000000">
          <w:rPr>
            <w:rFonts w:ascii="Times New Roman" w:cs="Times New Roman" w:eastAsia="Times New Roman" w:hAnsi="Times New Roman"/>
            <w:color w:val="1155cc"/>
            <w:sz w:val="28"/>
            <w:szCs w:val="28"/>
            <w:u w:val="single"/>
            <w:rtl w:val="0"/>
          </w:rPr>
          <w:t xml:space="preserve">elite systems</w:t>
        </w:r>
      </w:hyperlink>
      <w:r w:rsidDel="00000000" w:rsidR="00000000" w:rsidRPr="00000000">
        <w:rPr>
          <w:rFonts w:ascii="Times New Roman" w:cs="Times New Roman" w:eastAsia="Times New Roman" w:hAnsi="Times New Roman"/>
          <w:sz w:val="28"/>
          <w:szCs w:val="28"/>
          <w:rtl w:val="0"/>
        </w:rPr>
        <w:t xml:space="preserve"> further</w:t>
      </w:r>
      <w:r w:rsidDel="00000000" w:rsidR="00000000" w:rsidRPr="00000000">
        <w:rPr>
          <w:rFonts w:ascii="Times New Roman" w:cs="Times New Roman" w:eastAsia="Times New Roman" w:hAnsi="Times New Roman"/>
          <w:sz w:val="28"/>
          <w:szCs w:val="28"/>
          <w:rtl w:val="0"/>
        </w:rPr>
        <w:t xml:space="preserve">, often bringing a new underclass with them. This template became the foundation for the </w:t>
      </w:r>
      <w:hyperlink r:id="rId43">
        <w:r w:rsidDel="00000000" w:rsidR="00000000" w:rsidRPr="00000000">
          <w:rPr>
            <w:rFonts w:ascii="Times New Roman" w:cs="Times New Roman" w:eastAsia="Times New Roman" w:hAnsi="Times New Roman"/>
            <w:color w:val="1155cc"/>
            <w:sz w:val="28"/>
            <w:szCs w:val="28"/>
            <w:u w:val="single"/>
            <w:rtl w:val="0"/>
          </w:rPr>
          <w:t xml:space="preserve">first civilization in Sumer</w:t>
        </w:r>
      </w:hyperlink>
      <w:r w:rsidDel="00000000" w:rsidR="00000000" w:rsidRPr="00000000">
        <w:rPr>
          <w:rFonts w:ascii="Times New Roman" w:cs="Times New Roman" w:eastAsia="Times New Roman" w:hAnsi="Times New Roman"/>
          <w:sz w:val="28"/>
          <w:szCs w:val="28"/>
          <w:rtl w:val="0"/>
        </w:rPr>
        <w:t xml:space="preserve">, emerging around 4000 to 3500 BC, where, importantly, </w:t>
      </w:r>
      <w:hyperlink r:id="rId44">
        <w:r w:rsidDel="00000000" w:rsidR="00000000" w:rsidRPr="00000000">
          <w:rPr>
            <w:rFonts w:ascii="Times New Roman" w:cs="Times New Roman" w:eastAsia="Times New Roman" w:hAnsi="Times New Roman"/>
            <w:color w:val="1155cc"/>
            <w:sz w:val="28"/>
            <w:szCs w:val="28"/>
            <w:u w:val="single"/>
            <w:rtl w:val="0"/>
          </w:rPr>
          <w:t xml:space="preserve">theocracy provided structure to society</w:t>
        </w:r>
      </w:hyperlink>
      <w:r w:rsidDel="00000000" w:rsidR="00000000" w:rsidRPr="00000000">
        <w:rPr>
          <w:rFonts w:ascii="Times New Roman" w:cs="Times New Roman" w:eastAsia="Times New Roman" w:hAnsi="Times New Roman"/>
          <w:sz w:val="28"/>
          <w:szCs w:val="28"/>
          <w:rtl w:val="0"/>
        </w:rPr>
        <w:t xml:space="preserve"> and supported elite dominance.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Gaetano Mosca later called these legitimizing narratives “</w:t>
      </w:r>
      <w:hyperlink r:id="rId45">
        <w:r w:rsidDel="00000000" w:rsidR="00000000" w:rsidRPr="00000000">
          <w:rPr>
            <w:rFonts w:ascii="Times New Roman" w:cs="Times New Roman" w:eastAsia="Times New Roman" w:hAnsi="Times New Roman"/>
            <w:color w:val="1155cc"/>
            <w:sz w:val="28"/>
            <w:szCs w:val="28"/>
            <w:u w:val="single"/>
            <w:rtl w:val="0"/>
          </w:rPr>
          <w:t xml:space="preserve">political formulas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such as the “Great Chain of Being” in medieval Europe, which solidified royal power. In aristocratic societies, hierarchy was assumed, but in democratic ones, elites constantly reaffirm it through education, culture, or science. By the </w:t>
      </w:r>
      <w:hyperlink r:id="rId46">
        <w:r w:rsidDel="00000000" w:rsidR="00000000" w:rsidRPr="00000000">
          <w:rPr>
            <w:rFonts w:ascii="Times New Roman" w:cs="Times New Roman" w:eastAsia="Times New Roman" w:hAnsi="Times New Roman"/>
            <w:color w:val="1155cc"/>
            <w:sz w:val="28"/>
            <w:szCs w:val="28"/>
            <w:u w:val="single"/>
            <w:rtl w:val="0"/>
          </w:rPr>
          <w:t xml:space="preserve">19th and 20th centuries</w:t>
        </w:r>
      </w:hyperlink>
      <w:r w:rsidDel="00000000" w:rsidR="00000000" w:rsidRPr="00000000">
        <w:rPr>
          <w:rFonts w:ascii="Times New Roman" w:cs="Times New Roman" w:eastAsia="Times New Roman" w:hAnsi="Times New Roman"/>
          <w:sz w:val="28"/>
          <w:szCs w:val="28"/>
          <w:rtl w:val="0"/>
        </w:rPr>
        <w:t xml:space="preserve">, tools like IQ tests reinforced perceived hierarchies of intelligence, entrenching academic elites and social classes in the U.S.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elites still rely on organization and affirmation to maintain power, often facing less coordinated opposition from non-elites. This organization can </w:t>
      </w:r>
      <w:hyperlink r:id="rId47">
        <w:r w:rsidDel="00000000" w:rsidR="00000000" w:rsidRPr="00000000">
          <w:rPr>
            <w:rFonts w:ascii="Times New Roman" w:cs="Times New Roman" w:eastAsia="Times New Roman" w:hAnsi="Times New Roman"/>
            <w:color w:val="1155cc"/>
            <w:sz w:val="28"/>
            <w:szCs w:val="28"/>
            <w:u w:val="single"/>
            <w:rtl w:val="0"/>
          </w:rPr>
          <w:t xml:space="preserve">produce innovation</w:t>
        </w:r>
      </w:hyperlink>
      <w:r w:rsidDel="00000000" w:rsidR="00000000" w:rsidRPr="00000000">
        <w:rPr>
          <w:rFonts w:ascii="Times New Roman" w:cs="Times New Roman" w:eastAsia="Times New Roman" w:hAnsi="Times New Roman"/>
          <w:sz w:val="28"/>
          <w:szCs w:val="28"/>
          <w:rtl w:val="0"/>
        </w:rPr>
        <w:t xml:space="preserve"> for the public good</w:t>
      </w:r>
      <w:r w:rsidDel="00000000" w:rsidR="00000000" w:rsidRPr="00000000">
        <w:rPr>
          <w:rFonts w:ascii="Times New Roman" w:cs="Times New Roman" w:eastAsia="Times New Roman" w:hAnsi="Times New Roman"/>
          <w:sz w:val="28"/>
          <w:szCs w:val="28"/>
          <w:rtl w:val="0"/>
        </w:rPr>
        <w:t xml:space="preserve">, particularly when elite groups compete with one another rather than simply </w:t>
      </w:r>
      <w:hyperlink r:id="rId48">
        <w:r w:rsidDel="00000000" w:rsidR="00000000" w:rsidRPr="00000000">
          <w:rPr>
            <w:rFonts w:ascii="Times New Roman" w:cs="Times New Roman" w:eastAsia="Times New Roman" w:hAnsi="Times New Roman"/>
            <w:color w:val="1155cc"/>
            <w:sz w:val="28"/>
            <w:szCs w:val="28"/>
            <w:u w:val="single"/>
            <w:rtl w:val="0"/>
          </w:rPr>
          <w:t xml:space="preserve">extracting rents from society</w:t>
        </w:r>
      </w:hyperlink>
      <w:r w:rsidDel="00000000" w:rsidR="00000000" w:rsidRPr="00000000">
        <w:rPr>
          <w:rFonts w:ascii="Times New Roman" w:cs="Times New Roman" w:eastAsia="Times New Roman" w:hAnsi="Times New Roman"/>
          <w:sz w:val="28"/>
          <w:szCs w:val="28"/>
          <w:rtl w:val="0"/>
        </w:rPr>
        <w:t xml:space="preserve">. History also shows that popula</w:t>
      </w:r>
      <w:r w:rsidDel="00000000" w:rsidR="00000000" w:rsidRPr="00000000">
        <w:rPr>
          <w:rFonts w:ascii="Times New Roman" w:cs="Times New Roman" w:eastAsia="Times New Roman" w:hAnsi="Times New Roman"/>
          <w:sz w:val="28"/>
          <w:szCs w:val="28"/>
          <w:rtl w:val="0"/>
        </w:rPr>
        <w:t xml:space="preserve">r pressure—from </w:t>
      </w:r>
      <w:hyperlink r:id="rId49">
        <w:r w:rsidDel="00000000" w:rsidR="00000000" w:rsidRPr="00000000">
          <w:rPr>
            <w:rFonts w:ascii="Times New Roman" w:cs="Times New Roman" w:eastAsia="Times New Roman" w:hAnsi="Times New Roman"/>
            <w:color w:val="1155cc"/>
            <w:sz w:val="28"/>
            <w:szCs w:val="28"/>
            <w:u w:val="single"/>
            <w:rtl w:val="0"/>
          </w:rPr>
          <w:t xml:space="preserve">Roman plebeian walkouts</w:t>
        </w:r>
      </w:hyperlink>
      <w:r w:rsidDel="00000000" w:rsidR="00000000" w:rsidRPr="00000000">
        <w:rPr>
          <w:rFonts w:ascii="Times New Roman" w:cs="Times New Roman" w:eastAsia="Times New Roman" w:hAnsi="Times New Roman"/>
          <w:sz w:val="28"/>
          <w:szCs w:val="28"/>
          <w:rtl w:val="0"/>
        </w:rPr>
        <w:t xml:space="preserve"> to modern mass strikes—can force elites to concede influence even if their structures endure. Circulation of elites, or awareness that rulers can be replaced, has also long served as a check on domination.</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Interestingly, the same lands that first saw elite systems </w:t>
      </w:r>
      <w:hyperlink r:id="rId50">
        <w:r w:rsidDel="00000000" w:rsidR="00000000" w:rsidRPr="00000000">
          <w:rPr>
            <w:rFonts w:ascii="Times New Roman" w:cs="Times New Roman" w:eastAsia="Times New Roman" w:hAnsi="Times New Roman"/>
            <w:color w:val="1155cc"/>
            <w:sz w:val="28"/>
            <w:szCs w:val="28"/>
            <w:u w:val="single"/>
            <w:rtl w:val="0"/>
          </w:rPr>
          <w:t xml:space="preserve">also hosted</w:t>
        </w:r>
      </w:hyperlink>
      <w:r w:rsidDel="00000000" w:rsidR="00000000" w:rsidRPr="00000000">
        <w:rPr>
          <w:rFonts w:ascii="Times New Roman" w:cs="Times New Roman" w:eastAsia="Times New Roman" w:hAnsi="Times New Roman"/>
          <w:sz w:val="28"/>
          <w:szCs w:val="28"/>
          <w:rtl w:val="0"/>
        </w:rPr>
        <w:t xml:space="preserve"> early republic-like institutions. In Sumer and nearby city-states, assemblies of elders or citizens shared authority with rulers, who were also kept in check by civic bodies. Egyptian records from the mid-14th century describe </w:t>
      </w:r>
      <w:r w:rsidDel="00000000" w:rsidR="00000000" w:rsidRPr="00000000">
        <w:rPr>
          <w:rFonts w:ascii="Times New Roman" w:cs="Times New Roman" w:eastAsia="Times New Roman" w:hAnsi="Times New Roman"/>
          <w:sz w:val="28"/>
          <w:szCs w:val="28"/>
          <w:rtl w:val="0"/>
        </w:rPr>
        <w:t xml:space="preserve">Phoenician </w:t>
      </w:r>
      <w:r w:rsidDel="00000000" w:rsidR="00000000" w:rsidRPr="00000000">
        <w:rPr>
          <w:rFonts w:ascii="Times New Roman" w:cs="Times New Roman" w:eastAsia="Times New Roman" w:hAnsi="Times New Roman"/>
          <w:sz w:val="28"/>
          <w:szCs w:val="28"/>
          <w:rtl w:val="0"/>
        </w:rPr>
        <w:t xml:space="preserve">cities </w:t>
      </w:r>
      <w:hyperlink r:id="rId51">
        <w:r w:rsidDel="00000000" w:rsidR="00000000" w:rsidRPr="00000000">
          <w:rPr>
            <w:rFonts w:ascii="Times New Roman" w:cs="Times New Roman" w:eastAsia="Times New Roman" w:hAnsi="Times New Roman"/>
            <w:color w:val="1155cc"/>
            <w:sz w:val="28"/>
            <w:szCs w:val="28"/>
            <w:u w:val="single"/>
            <w:rtl w:val="0"/>
          </w:rPr>
          <w:t xml:space="preserve">sending delegates</w:t>
        </w:r>
      </w:hyperlink>
      <w:r w:rsidDel="00000000" w:rsidR="00000000" w:rsidRPr="00000000">
        <w:rPr>
          <w:rFonts w:ascii="Times New Roman" w:cs="Times New Roman" w:eastAsia="Times New Roman" w:hAnsi="Times New Roman"/>
          <w:sz w:val="28"/>
          <w:szCs w:val="28"/>
          <w:rtl w:val="0"/>
        </w:rPr>
        <w:t xml:space="preserve"> to represent citizens instead of monarchs, and </w:t>
      </w:r>
      <w:hyperlink r:id="rId52">
        <w:r w:rsidDel="00000000" w:rsidR="00000000" w:rsidRPr="00000000">
          <w:rPr>
            <w:rFonts w:ascii="Times New Roman" w:cs="Times New Roman" w:eastAsia="Times New Roman" w:hAnsi="Times New Roman"/>
            <w:color w:val="1155cc"/>
            <w:sz w:val="28"/>
            <w:szCs w:val="28"/>
            <w:u w:val="single"/>
            <w:rtl w:val="0"/>
          </w:rPr>
          <w:t xml:space="preserve">calls for alliances and requests</w:t>
        </w:r>
      </w:hyperlink>
      <w:r w:rsidDel="00000000" w:rsidR="00000000" w:rsidRPr="00000000">
        <w:rPr>
          <w:rFonts w:ascii="Times New Roman" w:cs="Times New Roman" w:eastAsia="Times New Roman" w:hAnsi="Times New Roman"/>
          <w:sz w:val="28"/>
          <w:szCs w:val="28"/>
          <w:rtl w:val="0"/>
        </w:rPr>
        <w:t xml:space="preserve"> for aid </w:t>
      </w:r>
      <w:r w:rsidDel="00000000" w:rsidR="00000000" w:rsidRPr="00000000">
        <w:rPr>
          <w:rFonts w:ascii="Times New Roman" w:cs="Times New Roman" w:eastAsia="Times New Roman" w:hAnsi="Times New Roman"/>
          <w:sz w:val="28"/>
          <w:szCs w:val="28"/>
          <w:rtl w:val="0"/>
        </w:rPr>
        <w:t xml:space="preserve">by</w:t>
      </w:r>
      <w:r w:rsidDel="00000000" w:rsidR="00000000" w:rsidRPr="00000000">
        <w:rPr>
          <w:rFonts w:ascii="Times New Roman" w:cs="Times New Roman" w:eastAsia="Times New Roman" w:hAnsi="Times New Roman"/>
          <w:sz w:val="28"/>
          <w:szCs w:val="28"/>
          <w:rtl w:val="0"/>
        </w:rPr>
        <w:t xml:space="preserve"> the “men of Arwad” and “elders of Irqata.”</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Resistance to elite domination, therefore, has ancient roots, with republican and collective governance emerging alongside hierarchical rule. When reform or turnover fails, dictators or populist movements, which can quickly become elitist themselves, pose new challenges for non-elites. Combined with modern corporate elitism, understanding how political and social elites maintain and legitimize their power is an important lesson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finding ways to encourage elites to act in the broader public interest, rather than merely entrenching their own position.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log.nationalmuseum.ch/en/2021/09/birth-of-the-warriors/" TargetMode="External"/><Relationship Id="rId42" Type="http://schemas.openxmlformats.org/officeDocument/2006/relationships/hyperlink" Target="https://www.newscientist.com/article/dn22071-inequality-why-egalitarian-societies-died-out/" TargetMode="External"/><Relationship Id="rId41" Type="http://schemas.openxmlformats.org/officeDocument/2006/relationships/hyperlink" Target="https://pmc.ncbi.nlm.nih.gov/articles/PMC7116870/" TargetMode="External"/><Relationship Id="rId44" Type="http://schemas.openxmlformats.org/officeDocument/2006/relationships/hyperlink" Target="https://factsanddetails.com/world/cat56/sub363/item1517.html" TargetMode="External"/><Relationship Id="rId43" Type="http://schemas.openxmlformats.org/officeDocument/2006/relationships/hyperlink" Target="https://www.history.com/articles/first-earliest-human-civilizations" TargetMode="External"/><Relationship Id="rId46" Type="http://schemas.openxmlformats.org/officeDocument/2006/relationships/hyperlink" Target="https://static1.squarespace.com/static/57693030b3db2b9400f95d24/t/682da93757f2e240e5c7efd5/1747822904190/Elites+as+Status+Groups+in+Democratic+Societies_Oxford_Handbook.pdf" TargetMode="External"/><Relationship Id="rId45" Type="http://schemas.openxmlformats.org/officeDocument/2006/relationships/hyperlink" Target="https://www.miskatonian.com/2023/11/20/laymans-intro-elite-the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Human_Bridges" TargetMode="External"/><Relationship Id="rId48" Type="http://schemas.openxmlformats.org/officeDocument/2006/relationships/hyperlink" Target="https://www.journals.uchicago.edu/doi/abs/10.1086/697742" TargetMode="External"/><Relationship Id="rId47" Type="http://schemas.openxmlformats.org/officeDocument/2006/relationships/hyperlink" Target="https://www.cambridge.org/core/journals/world-politics/article/abs/institutions-elites-and-technological-change-in-france-and-germany/CE192D6828D5AA0C7A520CA8465E1DB3" TargetMode="External"/><Relationship Id="rId49" Type="http://schemas.openxmlformats.org/officeDocument/2006/relationships/hyperlink" Target="https://braveneweurope.com/john-p-ruehl-how-republics-succeed-falter-and-fail"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observatory.wiki/Human_Bridges" TargetMode="External"/><Relationship Id="rId31" Type="http://schemas.openxmlformats.org/officeDocument/2006/relationships/hyperlink" Target="https://docs.google.com/document/d/1kg1AHez-Oeb0cZhNj76XIY7L9UQGe5GtrHH9Cia5ayw/edit?tab=t.0" TargetMode="External"/><Relationship Id="rId30" Type="http://schemas.openxmlformats.org/officeDocument/2006/relationships/hyperlink" Target="https://www.taylorfrancis.com/chapters/edit/10.4324/9781003335504-4/emergence-dispersal-neolithic-lifeways-mehmet-%C3%B6zdo%C4%9Fan" TargetMode="External"/><Relationship Id="rId33" Type="http://schemas.openxmlformats.org/officeDocument/2006/relationships/hyperlink" Target="https://static1.squarespace.com/static/57693030b3db2b9400f95d24/t/682da93757f2e240e5c7efd5/1747822904190/Elites+as+Status+Groups+in+Democratic+Societies_Oxford_Handbook.pdf" TargetMode="External"/><Relationship Id="rId32" Type="http://schemas.openxmlformats.org/officeDocument/2006/relationships/hyperlink" Target="https://docs.google.com/document/d/1KVIrin55CSop9AC4tXhKA5bvw12mg9u61s0yiv9ZBQ8/edit?tab=t.0" TargetMode="External"/><Relationship Id="rId35" Type="http://schemas.openxmlformats.org/officeDocument/2006/relationships/hyperlink" Target="https://docs.google.com/document/d/1g4q93scpoNq1X7RJt0AevoQonbOWL07biV8SHIYfPRI/edit?tab=t.0" TargetMode="External"/><Relationship Id="rId34" Type="http://schemas.openxmlformats.org/officeDocument/2006/relationships/hyperlink" Target="https://static1.squarespace.com/static/57693030b3db2b9400f95d24/t/682da93757f2e240e5c7efd5/1747822904190/Elites+as+Status+Groups+in+Democratic+Societies_Oxford_Handbook.pdf" TargetMode="External"/><Relationship Id="rId37" Type="http://schemas.openxmlformats.org/officeDocument/2006/relationships/hyperlink" Target="https://www.mdpi.com/2076-0752/8/3/79" TargetMode="External"/><Relationship Id="rId36" Type="http://schemas.openxmlformats.org/officeDocument/2006/relationships/hyperlink" Target="https://library.oapen.org/handle/20.500.12657/45832" TargetMode="External"/><Relationship Id="rId39" Type="http://schemas.openxmlformats.org/officeDocument/2006/relationships/hyperlink" Target="https://the-past.com/comment/rise-of-the-elites/#:~:text=The%20Bronze%20Age%20elites%20may%20have%20owned%2C,moulds%20for%20casting%20bronze%20bangles%20and%20axes." TargetMode="External"/><Relationship Id="rId38" Type="http://schemas.openxmlformats.org/officeDocument/2006/relationships/hyperlink" Target="https://www.mdpi.com/2076-0752/8/3/79" TargetMode="External"/><Relationship Id="rId20" Type="http://schemas.openxmlformats.org/officeDocument/2006/relationships/hyperlink" Target="https://pmc.ncbi.nlm.nih.gov/articles/PMC2584673" TargetMode="External"/><Relationship Id="rId22" Type="http://schemas.openxmlformats.org/officeDocument/2006/relationships/hyperlink" Target="https://docs.google.com/document/d/1kg1AHez-Oeb0cZhNj76XIY7L9UQGe5GtrHH9Cia5ayw/edit?tab=t.0" TargetMode="External"/><Relationship Id="rId21" Type="http://schemas.openxmlformats.org/officeDocument/2006/relationships/hyperlink" Target="https://peterturchin.com/complex-societies-before-agriculture-gobekli-tepe" TargetMode="External"/><Relationship Id="rId24" Type="http://schemas.openxmlformats.org/officeDocument/2006/relationships/hyperlink" Target="https://docs.google.com/document/d/1g4q93scpoNq1X7RJt0AevoQonbOWL07biV8SHIYfPRI/edit?tab=t.0" TargetMode="External"/><Relationship Id="rId23" Type="http://schemas.openxmlformats.org/officeDocument/2006/relationships/hyperlink" Target="https://docs.google.com/document/d/1g4q93scpoNq1X7RJt0AevoQonbOWL07biV8SHIYfPRI/edit?tab=t.0" TargetMode="External"/><Relationship Id="rId26" Type="http://schemas.openxmlformats.org/officeDocument/2006/relationships/hyperlink" Target="https://docs.google.com/document/d/1g4q93scpoNq1X7RJt0AevoQonbOWL07biV8SHIYfPRI/edit?tab=t.0" TargetMode="External"/><Relationship Id="rId25" Type="http://schemas.openxmlformats.org/officeDocument/2006/relationships/hyperlink" Target="https://docs.google.com/document/d/1kg1AHez-Oeb0cZhNj76XIY7L9UQGe5GtrHH9Cia5ayw/edit?tab=t.0" TargetMode="External"/><Relationship Id="rId28" Type="http://schemas.openxmlformats.org/officeDocument/2006/relationships/hyperlink" Target="https://static1.squarespace.com/static/57693030b3db2b9400f95d24/t/682da93757f2e240e5c7efd5/1747822904190/Elites+as+Status+Groups+in+Democratic+Societies_Oxford_Handbook.pdf" TargetMode="External"/><Relationship Id="rId27" Type="http://schemas.openxmlformats.org/officeDocument/2006/relationships/hyperlink" Target="https://www.archaeopress.com/Archaeopress/Products/9781803278919" TargetMode="External"/><Relationship Id="rId29" Type="http://schemas.openxmlformats.org/officeDocument/2006/relationships/hyperlink" Target="https://www.journals.uchicago.edu/doi/full/10.14318/hau7.2.014" TargetMode="External"/><Relationship Id="rId51" Type="http://schemas.openxmlformats.org/officeDocument/2006/relationships/hyperlink" Target="https://go.ind.media/e/546932/1-seq-4-page-scan-tab-contents/21r7r2h/1559324012/h/KgPpfPmu2RTamB_E8bw5JgJMHmlzMW6wtqvPH0DV2Nc" TargetMode="External"/><Relationship Id="rId50" Type="http://schemas.openxmlformats.org/officeDocument/2006/relationships/hyperlink" Target="https://www.resilience.org/stories/2024-11-15/what-are-republics-exactly/" TargetMode="External"/><Relationship Id="rId52" Type="http://schemas.openxmlformats.org/officeDocument/2006/relationships/hyperlink" Target="https://go.ind.media/e/546932/4c90-ab1e-596988a832a9-content/21r7r2l/1559324012/h/KgPpfPmu2RTamB_E8bw5JgJMHmlzMW6wtqvPH0DV2Nc" TargetMode="External"/><Relationship Id="rId11" Type="http://schemas.openxmlformats.org/officeDocument/2006/relationships/hyperlink" Target="https://link.springer.com/chapter/10.1007/978-0-387-68930-2_9#:~:text=Pareto%20postulated%20that%20in%20a,%E2%80%9D%20(1978:%201414)." TargetMode="External"/><Relationship Id="rId10" Type="http://schemas.openxmlformats.org/officeDocument/2006/relationships/hyperlink" Target="https://www.oxfordbibliographies.com/display/document/obo-9780199730414/obo-9780199730414-0132.xml" TargetMode="External"/><Relationship Id="rId13" Type="http://schemas.openxmlformats.org/officeDocument/2006/relationships/hyperlink" Target="https://www.populismstudies.org/Vocabulary/the-elite/" TargetMode="External"/><Relationship Id="rId12" Type="http://schemas.openxmlformats.org/officeDocument/2006/relationships/hyperlink" Target="https://jacobin.com/2024/04/robert-michels-oligarchy-political-parties-spd" TargetMode="External"/><Relationship Id="rId15" Type="http://schemas.openxmlformats.org/officeDocument/2006/relationships/hyperlink" Target="https://grammarphobia.com/blog/2011/03/elite.html" TargetMode="External"/><Relationship Id="rId14" Type="http://schemas.openxmlformats.org/officeDocument/2006/relationships/hyperlink" Target="https://www.britannica.com/topic/elite-theory" TargetMode="External"/><Relationship Id="rId17" Type="http://schemas.openxmlformats.org/officeDocument/2006/relationships/hyperlink" Target="https://www.thoughtco.com/what-is-the-oasis-theory-171996" TargetMode="External"/><Relationship Id="rId16" Type="http://schemas.openxmlformats.org/officeDocument/2006/relationships/hyperlink" Target="https://docs.google.com/document/d/1kg1AHez-Oeb0cZhNj76XIY7L9UQGe5GtrHH9Cia5ayw/edit?tab=t.0" TargetMode="External"/><Relationship Id="rId19" Type="http://schemas.openxmlformats.org/officeDocument/2006/relationships/hyperlink" Target="https://www.turkishmuseums.com/blog/detail/the-ancestor-of-the-cities-catalhoyuk/10128/4" TargetMode="External"/><Relationship Id="rId18" Type="http://schemas.openxmlformats.org/officeDocument/2006/relationships/hyperlink" Target="https://scalar.usc.edu/works/archaeology-of-complex-societies/atalhyk.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