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1f1f1f"/>
          <w:sz w:val="28"/>
          <w:szCs w:val="28"/>
          <w:highlight w:val="white"/>
          <w:rtl w:val="0"/>
        </w:rPr>
        <w:t xml:space="preserve">As a Growing Social Movement and Self-Care Practice, Death Literacy Is Fostering Positive Conversations About the End</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1f1f1f"/>
          <w:sz w:val="28"/>
          <w:szCs w:val="28"/>
          <w:highlight w:val="white"/>
          <w:rtl w:val="0"/>
        </w:rPr>
        <w:t xml:space="preserve">The new self-care movement teaches death literacy as a life-enhancing practice.</w:t>
      </w:r>
      <w:r w:rsidDel="00000000" w:rsidR="00000000" w:rsidRPr="00000000">
        <w:rPr>
          <w:rtl w:val="0"/>
        </w:rPr>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w:t>
      </w:r>
      <w:r w:rsidDel="00000000" w:rsidR="00000000" w:rsidRPr="00000000">
        <w:rPr>
          <w:rFonts w:ascii="Times New Roman" w:cs="Times New Roman" w:eastAsia="Times New Roman" w:hAnsi="Times New Roman"/>
          <w:sz w:val="28"/>
          <w:szCs w:val="28"/>
          <w:rtl w:val="0"/>
        </w:rPr>
        <w:t xml:space="preserve">Caren Martineau</w:t>
      </w:r>
      <w:r w:rsidDel="00000000" w:rsidR="00000000" w:rsidRPr="00000000">
        <w:rPr>
          <w:rtl w:val="0"/>
        </w:rPr>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Caren Martineau is the CEO and founder of </w:t>
      </w:r>
      <w:hyperlink r:id="rId6">
        <w:r w:rsidDel="00000000" w:rsidR="00000000" w:rsidRPr="00000000">
          <w:rPr>
            <w:rFonts w:ascii="Times New Roman" w:cs="Times New Roman" w:eastAsia="Times New Roman" w:hAnsi="Times New Roman"/>
            <w:color w:val="1155cc"/>
            <w:sz w:val="28"/>
            <w:szCs w:val="28"/>
            <w:u w:val="single"/>
            <w:rtl w:val="0"/>
          </w:rPr>
          <w:t xml:space="preserve">Bevival</w:t>
        </w:r>
      </w:hyperlink>
      <w:r w:rsidDel="00000000" w:rsidR="00000000" w:rsidRPr="00000000">
        <w:rPr>
          <w:rFonts w:ascii="Times New Roman" w:cs="Times New Roman" w:eastAsia="Times New Roman" w:hAnsi="Times New Roman"/>
          <w:sz w:val="28"/>
          <w:szCs w:val="28"/>
          <w:rtl w:val="0"/>
        </w:rPr>
        <w:t xml:space="preserve">, a death literacy content brand and movement dedicated to promoting death literacy. Find her online here at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carenmartineau.com</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5">
      <w:pPr>
        <w:spacing w:after="200"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 </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Science, Activism, North America/United States of America, Oceania/Australia, Opinion</w:t>
      </w:r>
    </w:p>
    <w:p w:rsidR="00000000" w:rsidDel="00000000" w:rsidP="00000000" w:rsidRDefault="00000000" w:rsidRPr="00000000" w14:paraId="00000007">
      <w:pPr>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color w:val="212529"/>
          <w:sz w:val="34"/>
          <w:szCs w:val="34"/>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9">
      <w:pPr>
        <w:shd w:fill="ffffff" w:val="clear"/>
        <w:spacing w:after="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As global populations transition into what has been called the “</w:t>
      </w:r>
      <w:hyperlink r:id="rId9">
        <w:r w:rsidDel="00000000" w:rsidR="00000000" w:rsidRPr="00000000">
          <w:rPr>
            <w:rFonts w:ascii="Times New Roman" w:cs="Times New Roman" w:eastAsia="Times New Roman" w:hAnsi="Times New Roman"/>
            <w:color w:val="1271eb"/>
            <w:sz w:val="28"/>
            <w:szCs w:val="28"/>
            <w:u w:val="single"/>
            <w:rtl w:val="0"/>
          </w:rPr>
          <w:t xml:space="preserve">longevity society</w:t>
        </w:r>
      </w:hyperlink>
      <w:r w:rsidDel="00000000" w:rsidR="00000000" w:rsidRPr="00000000">
        <w:rPr>
          <w:rFonts w:ascii="Times New Roman" w:cs="Times New Roman" w:eastAsia="Times New Roman" w:hAnsi="Times New Roman"/>
          <w:color w:val="212529"/>
          <w:sz w:val="28"/>
          <w:szCs w:val="28"/>
          <w:rtl w:val="0"/>
        </w:rPr>
        <w:t xml:space="preserve">,” caring for the aging and dying has prompted the emergence of an unusual self-care movement promising improved quality of life as it anticipates death.</w:t>
      </w:r>
    </w:p>
    <w:p w:rsidR="00000000" w:rsidDel="00000000" w:rsidP="00000000" w:rsidRDefault="00000000" w:rsidRPr="00000000" w14:paraId="0000000A">
      <w:pPr>
        <w:shd w:fill="ffffff" w:val="clear"/>
        <w:spacing w:after="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Since its </w:t>
      </w:r>
      <w:hyperlink r:id="rId10">
        <w:r w:rsidDel="00000000" w:rsidR="00000000" w:rsidRPr="00000000">
          <w:rPr>
            <w:rFonts w:ascii="Times New Roman" w:cs="Times New Roman" w:eastAsia="Times New Roman" w:hAnsi="Times New Roman"/>
            <w:color w:val="1271eb"/>
            <w:sz w:val="28"/>
            <w:szCs w:val="28"/>
            <w:u w:val="single"/>
            <w:rtl w:val="0"/>
          </w:rPr>
          <w:t xml:space="preserve">development and introduction</w:t>
        </w:r>
      </w:hyperlink>
      <w:r w:rsidDel="00000000" w:rsidR="00000000" w:rsidRPr="00000000">
        <w:rPr>
          <w:rFonts w:ascii="Times New Roman" w:cs="Times New Roman" w:eastAsia="Times New Roman" w:hAnsi="Times New Roman"/>
          <w:color w:val="212529"/>
          <w:sz w:val="28"/>
          <w:szCs w:val="28"/>
          <w:rtl w:val="0"/>
        </w:rPr>
        <w:t xml:space="preserve">, death literacy awareness has seen a steady organic rise, ­primarily due to the efforts of early adopters advocating for a “</w:t>
      </w:r>
      <w:hyperlink r:id="rId11">
        <w:r w:rsidDel="00000000" w:rsidR="00000000" w:rsidRPr="00000000">
          <w:rPr>
            <w:rFonts w:ascii="Times New Roman" w:cs="Times New Roman" w:eastAsia="Times New Roman" w:hAnsi="Times New Roman"/>
            <w:color w:val="1271eb"/>
            <w:sz w:val="28"/>
            <w:szCs w:val="28"/>
            <w:u w:val="single"/>
            <w:rtl w:val="0"/>
          </w:rPr>
          <w:t xml:space="preserve">new public health perspective</w:t>
        </w:r>
      </w:hyperlink>
      <w:r w:rsidDel="00000000" w:rsidR="00000000" w:rsidRPr="00000000">
        <w:rPr>
          <w:rFonts w:ascii="Times New Roman" w:cs="Times New Roman" w:eastAsia="Times New Roman" w:hAnsi="Times New Roman"/>
          <w:color w:val="212529"/>
          <w:sz w:val="28"/>
          <w:szCs w:val="28"/>
          <w:rtl w:val="0"/>
        </w:rPr>
        <w:t xml:space="preserve">” that enhances end-of-life awareness and care.</w:t>
      </w:r>
    </w:p>
    <w:p w:rsidR="00000000" w:rsidDel="00000000" w:rsidP="00000000" w:rsidRDefault="00000000" w:rsidRPr="00000000" w14:paraId="0000000B">
      <w:pPr>
        <w:shd w:fill="ffffff" w:val="clear"/>
        <w:spacing w:after="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“[D]eath literacy is defined as the knowledge and skills that make it possible to understand and act upon the end-of-life and death care options,” according to a 2024 </w:t>
      </w:r>
      <w:hyperlink r:id="rId12">
        <w:r w:rsidDel="00000000" w:rsidR="00000000" w:rsidRPr="00000000">
          <w:rPr>
            <w:rFonts w:ascii="Times New Roman" w:cs="Times New Roman" w:eastAsia="Times New Roman" w:hAnsi="Times New Roman"/>
            <w:color w:val="1271eb"/>
            <w:sz w:val="28"/>
            <w:szCs w:val="28"/>
            <w:u w:val="single"/>
            <w:rtl w:val="0"/>
          </w:rPr>
          <w:t xml:space="preserve">article</w:t>
        </w:r>
      </w:hyperlink>
      <w:r w:rsidDel="00000000" w:rsidR="00000000" w:rsidRPr="00000000">
        <w:rPr>
          <w:rFonts w:ascii="Times New Roman" w:cs="Times New Roman" w:eastAsia="Times New Roman" w:hAnsi="Times New Roman"/>
          <w:color w:val="212529"/>
          <w:sz w:val="28"/>
          <w:szCs w:val="28"/>
          <w:rtl w:val="0"/>
        </w:rPr>
        <w:t xml:space="preserve"> in the journal Palliative Care and Social Practice, and its four foundational pillars: knowledge, skills, experiential learning, and social action.</w:t>
      </w:r>
    </w:p>
    <w:p w:rsidR="00000000" w:rsidDel="00000000" w:rsidP="00000000" w:rsidRDefault="00000000" w:rsidRPr="00000000" w14:paraId="0000000C">
      <w:pPr>
        <w:shd w:fill="ffffff" w:val="clear"/>
        <w:spacing w:after="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Although experts and people attest to the benefits of early introductory conversations about end-of-life, industrialized societies like the United States lost touch with </w:t>
      </w:r>
      <w:hyperlink r:id="rId13">
        <w:r w:rsidDel="00000000" w:rsidR="00000000" w:rsidRPr="00000000">
          <w:rPr>
            <w:rFonts w:ascii="Times New Roman" w:cs="Times New Roman" w:eastAsia="Times New Roman" w:hAnsi="Times New Roman"/>
            <w:color w:val="1271eb"/>
            <w:sz w:val="28"/>
            <w:szCs w:val="28"/>
            <w:u w:val="single"/>
            <w:rtl w:val="0"/>
          </w:rPr>
          <w:t xml:space="preserve">end-of-life rituals and home funerals</w:t>
        </w:r>
      </w:hyperlink>
      <w:r w:rsidDel="00000000" w:rsidR="00000000" w:rsidRPr="00000000">
        <w:rPr>
          <w:rFonts w:ascii="Times New Roman" w:cs="Times New Roman" w:eastAsia="Times New Roman" w:hAnsi="Times New Roman"/>
          <w:color w:val="212529"/>
          <w:sz w:val="28"/>
          <w:szCs w:val="28"/>
          <w:rtl w:val="0"/>
        </w:rPr>
        <w:t xml:space="preserve"> in the early 1900s. As a result, what was once a natural relationship with the ending of life evolved. The dying were consigned to hospitals and then transferred to funeral homes. Such distancing from dying led to denial, avoidance, and fear of the process.</w:t>
      </w:r>
    </w:p>
    <w:p w:rsidR="00000000" w:rsidDel="00000000" w:rsidP="00000000" w:rsidRDefault="00000000" w:rsidRPr="00000000" w14:paraId="0000000D">
      <w:pPr>
        <w:shd w:fill="ffffff" w:val="clear"/>
        <w:spacing w:after="200" w:line="276"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Origins: Defining Death Literacy</w:t>
      </w:r>
    </w:p>
    <w:p w:rsidR="00000000" w:rsidDel="00000000" w:rsidP="00000000" w:rsidRDefault="00000000" w:rsidRPr="00000000" w14:paraId="0000000E">
      <w:pPr>
        <w:shd w:fill="ffffff" w:val="clear"/>
        <w:spacing w:after="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A chance meeting in 2010 between clinical psychologist </w:t>
      </w:r>
      <w:hyperlink r:id="rId14">
        <w:r w:rsidDel="00000000" w:rsidR="00000000" w:rsidRPr="00000000">
          <w:rPr>
            <w:rFonts w:ascii="Times New Roman" w:cs="Times New Roman" w:eastAsia="Times New Roman" w:hAnsi="Times New Roman"/>
            <w:color w:val="1271eb"/>
            <w:sz w:val="28"/>
            <w:szCs w:val="28"/>
            <w:u w:val="single"/>
            <w:rtl w:val="0"/>
          </w:rPr>
          <w:t xml:space="preserve">Kerrie Noonan</w:t>
        </w:r>
      </w:hyperlink>
      <w:r w:rsidDel="00000000" w:rsidR="00000000" w:rsidRPr="00000000">
        <w:rPr>
          <w:rFonts w:ascii="Times New Roman" w:cs="Times New Roman" w:eastAsia="Times New Roman" w:hAnsi="Times New Roman"/>
          <w:color w:val="212529"/>
          <w:sz w:val="28"/>
          <w:szCs w:val="28"/>
          <w:rtl w:val="0"/>
        </w:rPr>
        <w:t xml:space="preserve"> and playwright </w:t>
      </w:r>
      <w:hyperlink r:id="rId15">
        <w:r w:rsidDel="00000000" w:rsidR="00000000" w:rsidRPr="00000000">
          <w:rPr>
            <w:rFonts w:ascii="Times New Roman" w:cs="Times New Roman" w:eastAsia="Times New Roman" w:hAnsi="Times New Roman"/>
            <w:color w:val="1271eb"/>
            <w:sz w:val="28"/>
            <w:szCs w:val="28"/>
            <w:u w:val="single"/>
            <w:rtl w:val="0"/>
          </w:rPr>
          <w:t xml:space="preserve">Peta Murray</w:t>
        </w:r>
      </w:hyperlink>
      <w:r w:rsidDel="00000000" w:rsidR="00000000" w:rsidRPr="00000000">
        <w:rPr>
          <w:rFonts w:ascii="Times New Roman" w:cs="Times New Roman" w:eastAsia="Times New Roman" w:hAnsi="Times New Roman"/>
          <w:color w:val="212529"/>
          <w:sz w:val="28"/>
          <w:szCs w:val="28"/>
          <w:rtl w:val="0"/>
        </w:rPr>
        <w:t xml:space="preserve"> led to the formation of </w:t>
      </w:r>
      <w:hyperlink r:id="rId16">
        <w:r w:rsidDel="00000000" w:rsidR="00000000" w:rsidRPr="00000000">
          <w:rPr>
            <w:rFonts w:ascii="Times New Roman" w:cs="Times New Roman" w:eastAsia="Times New Roman" w:hAnsi="Times New Roman"/>
            <w:color w:val="1271eb"/>
            <w:sz w:val="28"/>
            <w:szCs w:val="28"/>
            <w:u w:val="single"/>
            <w:rtl w:val="0"/>
          </w:rPr>
          <w:t xml:space="preserve">The GroundSwell Project</w:t>
        </w:r>
      </w:hyperlink>
      <w:r w:rsidDel="00000000" w:rsidR="00000000" w:rsidRPr="00000000">
        <w:rPr>
          <w:rFonts w:ascii="Times New Roman" w:cs="Times New Roman" w:eastAsia="Times New Roman" w:hAnsi="Times New Roman"/>
          <w:color w:val="212529"/>
          <w:sz w:val="28"/>
          <w:szCs w:val="28"/>
          <w:rtl w:val="0"/>
        </w:rPr>
        <w:t xml:space="preserve"> (TGP), an end-of-life educational initiative. Employing community-driven strategies to build awareness and momentum, TGP went on to launch </w:t>
      </w:r>
      <w:r w:rsidDel="00000000" w:rsidR="00000000" w:rsidRPr="00000000">
        <w:rPr>
          <w:rFonts w:ascii="Times New Roman" w:cs="Times New Roman" w:eastAsia="Times New Roman" w:hAnsi="Times New Roman"/>
          <w:i w:val="1"/>
          <w:color w:val="212529"/>
          <w:sz w:val="28"/>
          <w:szCs w:val="28"/>
          <w:rtl w:val="0"/>
        </w:rPr>
        <w:t xml:space="preserve">Dying To Know Day</w:t>
      </w:r>
      <w:r w:rsidDel="00000000" w:rsidR="00000000" w:rsidRPr="00000000">
        <w:rPr>
          <w:rFonts w:ascii="Times New Roman" w:cs="Times New Roman" w:eastAsia="Times New Roman" w:hAnsi="Times New Roman"/>
          <w:color w:val="212529"/>
          <w:sz w:val="28"/>
          <w:szCs w:val="28"/>
          <w:rtl w:val="0"/>
        </w:rPr>
        <w:t xml:space="preserve"> (2013), an annual grassroots event encouraging open conversations about death and dying across Australia. By 2021, </w:t>
      </w:r>
      <w:hyperlink r:id="rId17">
        <w:r w:rsidDel="00000000" w:rsidR="00000000" w:rsidRPr="00000000">
          <w:rPr>
            <w:rFonts w:ascii="Times New Roman" w:cs="Times New Roman" w:eastAsia="Times New Roman" w:hAnsi="Times New Roman"/>
            <w:color w:val="1271eb"/>
            <w:sz w:val="28"/>
            <w:szCs w:val="28"/>
            <w:u w:val="single"/>
            <w:rtl w:val="0"/>
          </w:rPr>
          <w:t xml:space="preserve">Proveda</w:t>
        </w:r>
      </w:hyperlink>
      <w:r w:rsidDel="00000000" w:rsidR="00000000" w:rsidRPr="00000000">
        <w:rPr>
          <w:rFonts w:ascii="Times New Roman" w:cs="Times New Roman" w:eastAsia="Times New Roman" w:hAnsi="Times New Roman"/>
          <w:color w:val="212529"/>
          <w:sz w:val="28"/>
          <w:szCs w:val="28"/>
          <w:rtl w:val="0"/>
        </w:rPr>
        <w:t xml:space="preserve"> merged with TGP, integrating </w:t>
      </w:r>
      <w:hyperlink r:id="rId18">
        <w:r w:rsidDel="00000000" w:rsidR="00000000" w:rsidRPr="00000000">
          <w:rPr>
            <w:rFonts w:ascii="Times New Roman" w:cs="Times New Roman" w:eastAsia="Times New Roman" w:hAnsi="Times New Roman"/>
            <w:color w:val="1271eb"/>
            <w:sz w:val="28"/>
            <w:szCs w:val="28"/>
            <w:u w:val="single"/>
            <w:rtl w:val="0"/>
          </w:rPr>
          <w:t xml:space="preserve">D2KDay</w:t>
        </w:r>
      </w:hyperlink>
      <w:r w:rsidDel="00000000" w:rsidR="00000000" w:rsidRPr="00000000">
        <w:rPr>
          <w:rFonts w:ascii="Times New Roman" w:cs="Times New Roman" w:eastAsia="Times New Roman" w:hAnsi="Times New Roman"/>
          <w:color w:val="212529"/>
          <w:sz w:val="28"/>
          <w:szCs w:val="28"/>
          <w:rtl w:val="0"/>
        </w:rPr>
        <w:t xml:space="preserve"> into its portfolio of community resources.</w:t>
      </w:r>
    </w:p>
    <w:p w:rsidR="00000000" w:rsidDel="00000000" w:rsidP="00000000" w:rsidRDefault="00000000" w:rsidRPr="00000000" w14:paraId="0000000F">
      <w:pPr>
        <w:shd w:fill="ffffff" w:val="clear"/>
        <w:spacing w:after="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While casually researching nonmedical end-of-life educational resources late one night in 2015, I discovered this Australian grassroots organization using the term “death literacy” to describe their mission. As a branding professional, I immediately recognized the power of this term as a positive change agent. Upon receiving permission from TGP’s co-founders to introduce and represent the death literacy movement in North America, Bevival organized its first national grassroots </w:t>
      </w:r>
      <w:hyperlink r:id="rId19">
        <w:r w:rsidDel="00000000" w:rsidR="00000000" w:rsidRPr="00000000">
          <w:rPr>
            <w:rFonts w:ascii="Times New Roman" w:cs="Times New Roman" w:eastAsia="Times New Roman" w:hAnsi="Times New Roman"/>
            <w:color w:val="1271eb"/>
            <w:sz w:val="28"/>
            <w:szCs w:val="28"/>
            <w:u w:val="single"/>
            <w:rtl w:val="0"/>
          </w:rPr>
          <w:t xml:space="preserve">D2KDusa</w:t>
        </w:r>
      </w:hyperlink>
      <w:r w:rsidDel="00000000" w:rsidR="00000000" w:rsidRPr="00000000">
        <w:rPr>
          <w:rFonts w:ascii="Times New Roman" w:cs="Times New Roman" w:eastAsia="Times New Roman" w:hAnsi="Times New Roman"/>
          <w:color w:val="212529"/>
          <w:sz w:val="28"/>
          <w:szCs w:val="28"/>
          <w:rtl w:val="0"/>
        </w:rPr>
        <w:t xml:space="preserve"> campaign in August 2016. By then, Noonan had become a founding member of the </w:t>
      </w:r>
      <w:hyperlink r:id="rId20">
        <w:r w:rsidDel="00000000" w:rsidR="00000000" w:rsidRPr="00000000">
          <w:rPr>
            <w:rFonts w:ascii="Times New Roman" w:cs="Times New Roman" w:eastAsia="Times New Roman" w:hAnsi="Times New Roman"/>
            <w:color w:val="1271eb"/>
            <w:sz w:val="28"/>
            <w:szCs w:val="28"/>
            <w:u w:val="single"/>
            <w:rtl w:val="0"/>
          </w:rPr>
          <w:t xml:space="preserve">Caring at End of Life</w:t>
        </w:r>
      </w:hyperlink>
      <w:r w:rsidDel="00000000" w:rsidR="00000000" w:rsidRPr="00000000">
        <w:rPr>
          <w:rFonts w:ascii="Times New Roman" w:cs="Times New Roman" w:eastAsia="Times New Roman" w:hAnsi="Times New Roman"/>
          <w:color w:val="212529"/>
          <w:sz w:val="28"/>
          <w:szCs w:val="28"/>
          <w:rtl w:val="0"/>
        </w:rPr>
        <w:t xml:space="preserve"> research team at Western Sydney University and part of the pioneering research team that coined the term “death literacy” and developed the </w:t>
      </w:r>
      <w:hyperlink r:id="rId21">
        <w:r w:rsidDel="00000000" w:rsidR="00000000" w:rsidRPr="00000000">
          <w:rPr>
            <w:rFonts w:ascii="Times New Roman" w:cs="Times New Roman" w:eastAsia="Times New Roman" w:hAnsi="Times New Roman"/>
            <w:color w:val="1271eb"/>
            <w:sz w:val="28"/>
            <w:szCs w:val="28"/>
            <w:u w:val="single"/>
            <w:rtl w:val="0"/>
          </w:rPr>
          <w:t xml:space="preserve">Death Literacy Index</w:t>
        </w:r>
      </w:hyperlink>
      <w:r w:rsidDel="00000000" w:rsidR="00000000" w:rsidRPr="00000000">
        <w:rPr>
          <w:rFonts w:ascii="Times New Roman" w:cs="Times New Roman" w:eastAsia="Times New Roman" w:hAnsi="Times New Roman"/>
          <w:color w:val="212529"/>
          <w:sz w:val="28"/>
          <w:szCs w:val="28"/>
          <w:rtl w:val="0"/>
        </w:rPr>
        <w:t xml:space="preserve"> in 2019.</w:t>
      </w:r>
    </w:p>
    <w:p w:rsidR="00000000" w:rsidDel="00000000" w:rsidP="00000000" w:rsidRDefault="00000000" w:rsidRPr="00000000" w14:paraId="00000010">
      <w:pPr>
        <w:shd w:fill="ffffff" w:val="clear"/>
        <w:spacing w:after="200" w:line="276"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A Culture Change Moment</w:t>
      </w:r>
    </w:p>
    <w:p w:rsidR="00000000" w:rsidDel="00000000" w:rsidP="00000000" w:rsidRDefault="00000000" w:rsidRPr="00000000" w14:paraId="00000011">
      <w:pPr>
        <w:shd w:fill="ffffff" w:val="clear"/>
        <w:spacing w:after="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The lure of transformation typically attracts early adopters who, in turn, inspire change through collaboration. To evangelize death literacy’s mission, the movement attracted support from a wide range of </w:t>
      </w:r>
      <w:hyperlink r:id="rId22">
        <w:r w:rsidDel="00000000" w:rsidR="00000000" w:rsidRPr="00000000">
          <w:rPr>
            <w:rFonts w:ascii="Times New Roman" w:cs="Times New Roman" w:eastAsia="Times New Roman" w:hAnsi="Times New Roman"/>
            <w:color w:val="1271eb"/>
            <w:sz w:val="28"/>
            <w:szCs w:val="28"/>
            <w:u w:val="single"/>
            <w:rtl w:val="0"/>
          </w:rPr>
          <w:t xml:space="preserve">critical stakeholders and change agents</w:t>
        </w:r>
      </w:hyperlink>
      <w:r w:rsidDel="00000000" w:rsidR="00000000" w:rsidRPr="00000000">
        <w:rPr>
          <w:rFonts w:ascii="Times New Roman" w:cs="Times New Roman" w:eastAsia="Times New Roman" w:hAnsi="Times New Roman"/>
          <w:color w:val="212529"/>
          <w:sz w:val="28"/>
          <w:szCs w:val="28"/>
          <w:rtl w:val="0"/>
        </w:rPr>
        <w:t xml:space="preserve">—creators, educators, </w:t>
      </w:r>
      <w:hyperlink r:id="rId23">
        <w:r w:rsidDel="00000000" w:rsidR="00000000" w:rsidRPr="00000000">
          <w:rPr>
            <w:rFonts w:ascii="Times New Roman" w:cs="Times New Roman" w:eastAsia="Times New Roman" w:hAnsi="Times New Roman"/>
            <w:color w:val="1271eb"/>
            <w:sz w:val="28"/>
            <w:szCs w:val="28"/>
            <w:u w:val="single"/>
            <w:rtl w:val="0"/>
          </w:rPr>
          <w:t xml:space="preserve">entrepreneurs</w:t>
        </w:r>
      </w:hyperlink>
      <w:r w:rsidDel="00000000" w:rsidR="00000000" w:rsidRPr="00000000">
        <w:rPr>
          <w:rFonts w:ascii="Times New Roman" w:cs="Times New Roman" w:eastAsia="Times New Roman" w:hAnsi="Times New Roman"/>
          <w:color w:val="212529"/>
          <w:sz w:val="28"/>
          <w:szCs w:val="28"/>
          <w:rtl w:val="0"/>
        </w:rPr>
        <w:t xml:space="preserve">, academics, social scientists, and health care practitioners. Mindful of creativity’s role in laying a foundation for culture change, these advocates took it upon themselves to foster public awareness with a cautious message about the economic and emotional consequences of living longer and dying slower.</w:t>
      </w:r>
    </w:p>
    <w:p w:rsidR="00000000" w:rsidDel="00000000" w:rsidP="00000000" w:rsidRDefault="00000000" w:rsidRPr="00000000" w14:paraId="00000012">
      <w:pPr>
        <w:shd w:fill="ffffff" w:val="clear"/>
        <w:spacing w:after="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In the ensuing years, the death literacy awareness movement spawned many mission-driven organizations that endeavor to </w:t>
      </w:r>
      <w:hyperlink r:id="rId24">
        <w:r w:rsidDel="00000000" w:rsidR="00000000" w:rsidRPr="00000000">
          <w:rPr>
            <w:rFonts w:ascii="Times New Roman" w:cs="Times New Roman" w:eastAsia="Times New Roman" w:hAnsi="Times New Roman"/>
            <w:color w:val="1271eb"/>
            <w:sz w:val="28"/>
            <w:szCs w:val="28"/>
            <w:u w:val="single"/>
            <w:rtl w:val="0"/>
          </w:rPr>
          <w:t xml:space="preserve">normalize dying, death, and grief</w:t>
        </w:r>
      </w:hyperlink>
      <w:r w:rsidDel="00000000" w:rsidR="00000000" w:rsidRPr="00000000">
        <w:rPr>
          <w:rFonts w:ascii="Times New Roman" w:cs="Times New Roman" w:eastAsia="Times New Roman" w:hAnsi="Times New Roman"/>
          <w:color w:val="212529"/>
          <w:sz w:val="28"/>
          <w:szCs w:val="28"/>
          <w:rtl w:val="0"/>
        </w:rPr>
        <w:t xml:space="preserve"> as inevitable human experiences. Examples include </w:t>
      </w:r>
      <w:hyperlink r:id="rId25">
        <w:r w:rsidDel="00000000" w:rsidR="00000000" w:rsidRPr="00000000">
          <w:rPr>
            <w:rFonts w:ascii="Times New Roman" w:cs="Times New Roman" w:eastAsia="Times New Roman" w:hAnsi="Times New Roman"/>
            <w:color w:val="1271eb"/>
            <w:sz w:val="28"/>
            <w:szCs w:val="28"/>
            <w:u w:val="single"/>
            <w:rtl w:val="0"/>
          </w:rPr>
          <w:t xml:space="preserve">Reimagine</w:t>
        </w:r>
      </w:hyperlink>
      <w:r w:rsidDel="00000000" w:rsidR="00000000" w:rsidRPr="00000000">
        <w:rPr>
          <w:rFonts w:ascii="Times New Roman" w:cs="Times New Roman" w:eastAsia="Times New Roman" w:hAnsi="Times New Roman"/>
          <w:color w:val="212529"/>
          <w:sz w:val="28"/>
          <w:szCs w:val="28"/>
          <w:u w:val="single"/>
          <w:rtl w:val="0"/>
        </w:rPr>
        <w:t xml:space="preserve">, </w:t>
      </w:r>
      <w:hyperlink r:id="rId26">
        <w:r w:rsidDel="00000000" w:rsidR="00000000" w:rsidRPr="00000000">
          <w:rPr>
            <w:rFonts w:ascii="Times New Roman" w:cs="Times New Roman" w:eastAsia="Times New Roman" w:hAnsi="Times New Roman"/>
            <w:color w:val="1271eb"/>
            <w:sz w:val="28"/>
            <w:szCs w:val="28"/>
            <w:u w:val="single"/>
            <w:rtl w:val="0"/>
          </w:rPr>
          <w:t xml:space="preserve">End Well</w:t>
        </w:r>
      </w:hyperlink>
      <w:r w:rsidDel="00000000" w:rsidR="00000000" w:rsidRPr="00000000">
        <w:rPr>
          <w:rFonts w:ascii="Times New Roman" w:cs="Times New Roman" w:eastAsia="Times New Roman" w:hAnsi="Times New Roman"/>
          <w:color w:val="212529"/>
          <w:sz w:val="28"/>
          <w:szCs w:val="28"/>
          <w:rtl w:val="0"/>
        </w:rPr>
        <w:t xml:space="preserve">, my organization, </w:t>
      </w:r>
      <w:hyperlink r:id="rId27">
        <w:r w:rsidDel="00000000" w:rsidR="00000000" w:rsidRPr="00000000">
          <w:rPr>
            <w:rFonts w:ascii="Times New Roman" w:cs="Times New Roman" w:eastAsia="Times New Roman" w:hAnsi="Times New Roman"/>
            <w:color w:val="1271eb"/>
            <w:sz w:val="28"/>
            <w:szCs w:val="28"/>
            <w:u w:val="single"/>
            <w:rtl w:val="0"/>
          </w:rPr>
          <w:t xml:space="preserve">Bevival</w:t>
        </w:r>
      </w:hyperlink>
      <w:r w:rsidDel="00000000" w:rsidR="00000000" w:rsidRPr="00000000">
        <w:rPr>
          <w:rFonts w:ascii="Times New Roman" w:cs="Times New Roman" w:eastAsia="Times New Roman" w:hAnsi="Times New Roman"/>
          <w:color w:val="212529"/>
          <w:sz w:val="28"/>
          <w:szCs w:val="28"/>
          <w:rtl w:val="0"/>
        </w:rPr>
        <w:t xml:space="preserve">, and influential individuals such as </w:t>
      </w:r>
      <w:hyperlink r:id="rId28">
        <w:r w:rsidDel="00000000" w:rsidR="00000000" w:rsidRPr="00000000">
          <w:rPr>
            <w:rFonts w:ascii="Times New Roman" w:cs="Times New Roman" w:eastAsia="Times New Roman" w:hAnsi="Times New Roman"/>
            <w:color w:val="1271eb"/>
            <w:sz w:val="28"/>
            <w:szCs w:val="28"/>
            <w:u w:val="single"/>
            <w:rtl w:val="0"/>
          </w:rPr>
          <w:t xml:space="preserve">Dr. Ira Byock</w:t>
        </w:r>
      </w:hyperlink>
      <w:r w:rsidDel="00000000" w:rsidR="00000000" w:rsidRPr="00000000">
        <w:rPr>
          <w:rFonts w:ascii="Times New Roman" w:cs="Times New Roman" w:eastAsia="Times New Roman" w:hAnsi="Times New Roman"/>
          <w:color w:val="212529"/>
          <w:sz w:val="28"/>
          <w:szCs w:val="28"/>
          <w:u w:val="single"/>
          <w:rtl w:val="0"/>
        </w:rPr>
        <w:t xml:space="preserve">, </w:t>
      </w:r>
      <w:hyperlink r:id="rId29">
        <w:r w:rsidDel="00000000" w:rsidR="00000000" w:rsidRPr="00000000">
          <w:rPr>
            <w:rFonts w:ascii="Times New Roman" w:cs="Times New Roman" w:eastAsia="Times New Roman" w:hAnsi="Times New Roman"/>
            <w:color w:val="1271eb"/>
            <w:sz w:val="28"/>
            <w:szCs w:val="28"/>
            <w:u w:val="single"/>
            <w:rtl w:val="0"/>
          </w:rPr>
          <w:t xml:space="preserve">Katy Butler</w:t>
        </w:r>
      </w:hyperlink>
      <w:r w:rsidDel="00000000" w:rsidR="00000000" w:rsidRPr="00000000">
        <w:rPr>
          <w:rFonts w:ascii="Times New Roman" w:cs="Times New Roman" w:eastAsia="Times New Roman" w:hAnsi="Times New Roman"/>
          <w:color w:val="212529"/>
          <w:sz w:val="28"/>
          <w:szCs w:val="28"/>
          <w:u w:val="single"/>
          <w:rtl w:val="0"/>
        </w:rPr>
        <w:t xml:space="preserve">, </w:t>
      </w:r>
      <w:hyperlink r:id="rId30">
        <w:r w:rsidDel="00000000" w:rsidR="00000000" w:rsidRPr="00000000">
          <w:rPr>
            <w:rFonts w:ascii="Times New Roman" w:cs="Times New Roman" w:eastAsia="Times New Roman" w:hAnsi="Times New Roman"/>
            <w:color w:val="1271eb"/>
            <w:sz w:val="28"/>
            <w:szCs w:val="28"/>
            <w:u w:val="single"/>
            <w:rtl w:val="0"/>
          </w:rPr>
          <w:t xml:space="preserve">Frank Ostaseski</w:t>
        </w:r>
      </w:hyperlink>
      <w:r w:rsidDel="00000000" w:rsidR="00000000" w:rsidRPr="00000000">
        <w:rPr>
          <w:rFonts w:ascii="Times New Roman" w:cs="Times New Roman" w:eastAsia="Times New Roman" w:hAnsi="Times New Roman"/>
          <w:color w:val="212529"/>
          <w:sz w:val="28"/>
          <w:szCs w:val="28"/>
          <w:rtl w:val="0"/>
        </w:rPr>
        <w:t xml:space="preserve">, and many others. Collectively, we are helping to dimensionalize the term “death literacy.”</w:t>
      </w:r>
    </w:p>
    <w:p w:rsidR="00000000" w:rsidDel="00000000" w:rsidP="00000000" w:rsidRDefault="00000000" w:rsidRPr="00000000" w14:paraId="00000013">
      <w:pPr>
        <w:shd w:fill="ffffff" w:val="clear"/>
        <w:spacing w:after="200" w:line="276"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Setting the Stage: America’s Aging Demographics</w:t>
      </w:r>
    </w:p>
    <w:p w:rsidR="00000000" w:rsidDel="00000000" w:rsidP="00000000" w:rsidRDefault="00000000" w:rsidRPr="00000000" w14:paraId="00000014">
      <w:pPr>
        <w:shd w:fill="ffffff" w:val="clear"/>
        <w:spacing w:after="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The </w:t>
      </w:r>
      <w:hyperlink r:id="rId31">
        <w:r w:rsidDel="00000000" w:rsidR="00000000" w:rsidRPr="00000000">
          <w:rPr>
            <w:rFonts w:ascii="Times New Roman" w:cs="Times New Roman" w:eastAsia="Times New Roman" w:hAnsi="Times New Roman"/>
            <w:color w:val="1271eb"/>
            <w:sz w:val="28"/>
            <w:szCs w:val="28"/>
            <w:u w:val="single"/>
            <w:rtl w:val="0"/>
          </w:rPr>
          <w:t xml:space="preserve">2014 U.S. Census report</w:t>
        </w:r>
      </w:hyperlink>
      <w:r w:rsidDel="00000000" w:rsidR="00000000" w:rsidRPr="00000000">
        <w:rPr>
          <w:rFonts w:ascii="Times New Roman" w:cs="Times New Roman" w:eastAsia="Times New Roman" w:hAnsi="Times New Roman"/>
          <w:color w:val="212529"/>
          <w:sz w:val="28"/>
          <w:szCs w:val="28"/>
          <w:rtl w:val="0"/>
        </w:rPr>
        <w:t xml:space="preserve"> pointed to an unprecedented population shift in America—an inflection point that announced the future of America’s obsession with youth and consumerism belonged to three consecutive aging populations: primarily boomers, closely followed by Gen X and millennials.</w:t>
      </w:r>
    </w:p>
    <w:p w:rsidR="00000000" w:rsidDel="00000000" w:rsidP="00000000" w:rsidRDefault="00000000" w:rsidRPr="00000000" w14:paraId="00000015">
      <w:pPr>
        <w:shd w:fill="ffffff" w:val="clear"/>
        <w:spacing w:after="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“Between 2012 and 2050, the United States will experience considerable growth in its older population. … In 2050, the population aged 65 and over is projected to be 83.7 million, almost double its estimated population of 43.1 million in 2012,” </w:t>
      </w:r>
      <w:hyperlink r:id="rId32">
        <w:r w:rsidDel="00000000" w:rsidR="00000000" w:rsidRPr="00000000">
          <w:rPr>
            <w:rFonts w:ascii="Times New Roman" w:cs="Times New Roman" w:eastAsia="Times New Roman" w:hAnsi="Times New Roman"/>
            <w:color w:val="1271eb"/>
            <w:sz w:val="28"/>
            <w:szCs w:val="28"/>
            <w:u w:val="single"/>
            <w:rtl w:val="0"/>
          </w:rPr>
          <w:t xml:space="preserve">stated</w:t>
        </w:r>
      </w:hyperlink>
      <w:r w:rsidDel="00000000" w:rsidR="00000000" w:rsidRPr="00000000">
        <w:rPr>
          <w:rFonts w:ascii="Times New Roman" w:cs="Times New Roman" w:eastAsia="Times New Roman" w:hAnsi="Times New Roman"/>
          <w:color w:val="212529"/>
          <w:sz w:val="28"/>
          <w:szCs w:val="28"/>
          <w:rtl w:val="0"/>
        </w:rPr>
        <w:t xml:space="preserve"> the report.</w:t>
      </w:r>
    </w:p>
    <w:p w:rsidR="00000000" w:rsidDel="00000000" w:rsidP="00000000" w:rsidRDefault="00000000" w:rsidRPr="00000000" w14:paraId="00000016">
      <w:pPr>
        <w:shd w:fill="ffffff" w:val="clear"/>
        <w:spacing w:after="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This unprecedented “</w:t>
      </w:r>
      <w:hyperlink r:id="rId33">
        <w:r w:rsidDel="00000000" w:rsidR="00000000" w:rsidRPr="00000000">
          <w:rPr>
            <w:rFonts w:ascii="Times New Roman" w:cs="Times New Roman" w:eastAsia="Times New Roman" w:hAnsi="Times New Roman"/>
            <w:color w:val="1271eb"/>
            <w:sz w:val="28"/>
            <w:szCs w:val="28"/>
            <w:u w:val="single"/>
            <w:rtl w:val="0"/>
          </w:rPr>
          <w:t xml:space="preserve">silver tsunami,</w:t>
        </w:r>
      </w:hyperlink>
      <w:r w:rsidDel="00000000" w:rsidR="00000000" w:rsidRPr="00000000">
        <w:rPr>
          <w:rFonts w:ascii="Times New Roman" w:cs="Times New Roman" w:eastAsia="Times New Roman" w:hAnsi="Times New Roman"/>
          <w:color w:val="212529"/>
          <w:sz w:val="28"/>
          <w:szCs w:val="28"/>
          <w:rtl w:val="0"/>
        </w:rPr>
        <w:t xml:space="preserve">” with its unique </w:t>
      </w:r>
      <w:hyperlink r:id="rId34">
        <w:r w:rsidDel="00000000" w:rsidR="00000000" w:rsidRPr="00000000">
          <w:rPr>
            <w:rFonts w:ascii="Times New Roman" w:cs="Times New Roman" w:eastAsia="Times New Roman" w:hAnsi="Times New Roman"/>
            <w:color w:val="1271eb"/>
            <w:sz w:val="28"/>
            <w:szCs w:val="28"/>
            <w:u w:val="single"/>
            <w:rtl w:val="0"/>
          </w:rPr>
          <w:t xml:space="preserve">macroeconomy,</w:t>
        </w:r>
      </w:hyperlink>
      <w:r w:rsidDel="00000000" w:rsidR="00000000" w:rsidRPr="00000000">
        <w:rPr>
          <w:rFonts w:ascii="Times New Roman" w:cs="Times New Roman" w:eastAsia="Times New Roman" w:hAnsi="Times New Roman"/>
          <w:color w:val="212529"/>
          <w:sz w:val="28"/>
          <w:szCs w:val="28"/>
          <w:rtl w:val="0"/>
        </w:rPr>
        <w:t xml:space="preserve"> has led marketers to influence a wide range of consumer goods and services tailored</w:t>
      </w:r>
      <w:r w:rsidDel="00000000" w:rsidR="00000000" w:rsidRPr="00000000">
        <w:rPr>
          <w:rFonts w:ascii="Times New Roman" w:cs="Times New Roman" w:eastAsia="Times New Roman" w:hAnsi="Times New Roman"/>
          <w:color w:val="212529"/>
          <w:sz w:val="28"/>
          <w:szCs w:val="28"/>
          <w:rtl w:val="0"/>
        </w:rPr>
        <w:t xml:space="preserve"> to America’s aging population.</w:t>
      </w:r>
    </w:p>
    <w:p w:rsidR="00000000" w:rsidDel="00000000" w:rsidP="00000000" w:rsidRDefault="00000000" w:rsidRPr="00000000" w14:paraId="00000017">
      <w:pPr>
        <w:shd w:fill="ffffff" w:val="clear"/>
        <w:spacing w:after="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Popular magazines such as </w:t>
      </w:r>
      <w:hyperlink r:id="rId35">
        <w:r w:rsidDel="00000000" w:rsidR="00000000" w:rsidRPr="00000000">
          <w:rPr>
            <w:rFonts w:ascii="Times New Roman" w:cs="Times New Roman" w:eastAsia="Times New Roman" w:hAnsi="Times New Roman"/>
            <w:color w:val="1271eb"/>
            <w:sz w:val="28"/>
            <w:szCs w:val="28"/>
            <w:u w:val="single"/>
            <w:rtl w:val="0"/>
          </w:rPr>
          <w:t xml:space="preserve">Time</w:t>
        </w:r>
      </w:hyperlink>
      <w:r w:rsidDel="00000000" w:rsidR="00000000" w:rsidRPr="00000000">
        <w:rPr>
          <w:rFonts w:ascii="Times New Roman" w:cs="Times New Roman" w:eastAsia="Times New Roman" w:hAnsi="Times New Roman"/>
          <w:color w:val="212529"/>
          <w:sz w:val="28"/>
          <w:szCs w:val="28"/>
          <w:rtl w:val="0"/>
        </w:rPr>
        <w:t xml:space="preserve">, </w:t>
      </w:r>
      <w:hyperlink r:id="rId36">
        <w:r w:rsidDel="00000000" w:rsidR="00000000" w:rsidRPr="00000000">
          <w:rPr>
            <w:rFonts w:ascii="Times New Roman" w:cs="Times New Roman" w:eastAsia="Times New Roman" w:hAnsi="Times New Roman"/>
            <w:color w:val="1271eb"/>
            <w:sz w:val="28"/>
            <w:szCs w:val="28"/>
            <w:u w:val="single"/>
            <w:rtl w:val="0"/>
          </w:rPr>
          <w:t xml:space="preserve">AARP</w:t>
        </w:r>
      </w:hyperlink>
      <w:r w:rsidDel="00000000" w:rsidR="00000000" w:rsidRPr="00000000">
        <w:rPr>
          <w:rFonts w:ascii="Times New Roman" w:cs="Times New Roman" w:eastAsia="Times New Roman" w:hAnsi="Times New Roman"/>
          <w:color w:val="212529"/>
          <w:sz w:val="28"/>
          <w:szCs w:val="28"/>
          <w:rtl w:val="0"/>
        </w:rPr>
        <w:t xml:space="preserve">, and the </w:t>
      </w:r>
      <w:hyperlink r:id="rId37">
        <w:r w:rsidDel="00000000" w:rsidR="00000000" w:rsidRPr="00000000">
          <w:rPr>
            <w:rFonts w:ascii="Times New Roman" w:cs="Times New Roman" w:eastAsia="Times New Roman" w:hAnsi="Times New Roman"/>
            <w:color w:val="1271eb"/>
            <w:sz w:val="28"/>
            <w:szCs w:val="28"/>
            <w:u w:val="single"/>
            <w:rtl w:val="0"/>
          </w:rPr>
          <w:t xml:space="preserve">New York Times</w:t>
        </w:r>
      </w:hyperlink>
      <w:r w:rsidDel="00000000" w:rsidR="00000000" w:rsidRPr="00000000">
        <w:rPr>
          <w:rFonts w:ascii="Times New Roman" w:cs="Times New Roman" w:eastAsia="Times New Roman" w:hAnsi="Times New Roman"/>
          <w:color w:val="212529"/>
          <w:sz w:val="28"/>
          <w:szCs w:val="28"/>
          <w:rtl w:val="0"/>
        </w:rPr>
        <w:t xml:space="preserve"> began addressing our nation’s emerging death consciousness. While some offered practical advice, such as the demise of social security and the rising cost of health care, others inspired readers with bucket lists and lifestyle stories highlighting the West Coast’s youthful “</w:t>
      </w:r>
      <w:hyperlink r:id="rId38">
        <w:r w:rsidDel="00000000" w:rsidR="00000000" w:rsidRPr="00000000">
          <w:rPr>
            <w:rFonts w:ascii="Times New Roman" w:cs="Times New Roman" w:eastAsia="Times New Roman" w:hAnsi="Times New Roman"/>
            <w:color w:val="1271eb"/>
            <w:sz w:val="28"/>
            <w:szCs w:val="28"/>
            <w:u w:val="single"/>
            <w:rtl w:val="0"/>
          </w:rPr>
          <w:t xml:space="preserve">Death Positive Movement</w:t>
        </w:r>
      </w:hyperlink>
      <w:r w:rsidDel="00000000" w:rsidR="00000000" w:rsidRPr="00000000">
        <w:rPr>
          <w:rFonts w:ascii="Times New Roman" w:cs="Times New Roman" w:eastAsia="Times New Roman" w:hAnsi="Times New Roman"/>
          <w:color w:val="212529"/>
          <w:sz w:val="28"/>
          <w:szCs w:val="28"/>
          <w:rtl w:val="0"/>
        </w:rPr>
        <w:t xml:space="preserve">.”</w:t>
      </w:r>
    </w:p>
    <w:p w:rsidR="00000000" w:rsidDel="00000000" w:rsidP="00000000" w:rsidRDefault="00000000" w:rsidRPr="00000000" w14:paraId="00000018">
      <w:pPr>
        <w:shd w:fill="ffffff" w:val="clea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Death With Dignity</w:t>
      </w:r>
    </w:p>
    <w:p w:rsidR="00000000" w:rsidDel="00000000" w:rsidP="00000000" w:rsidRDefault="00000000" w:rsidRPr="00000000" w14:paraId="00000019">
      <w:pPr>
        <w:shd w:fill="ffffff" w:val="clear"/>
        <w:spacing w:after="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Congruent with the movement promoting death literacy education, an important parallel initiative supporting the legalization of </w:t>
      </w:r>
      <w:hyperlink r:id="rId39">
        <w:r w:rsidDel="00000000" w:rsidR="00000000" w:rsidRPr="00000000">
          <w:rPr>
            <w:rFonts w:ascii="Times New Roman" w:cs="Times New Roman" w:eastAsia="Times New Roman" w:hAnsi="Times New Roman"/>
            <w:color w:val="1271eb"/>
            <w:sz w:val="28"/>
            <w:szCs w:val="28"/>
            <w:u w:val="single"/>
            <w:rtl w:val="0"/>
          </w:rPr>
          <w:t xml:space="preserve">Medical Aid In Dying</w:t>
        </w:r>
      </w:hyperlink>
      <w:r w:rsidDel="00000000" w:rsidR="00000000" w:rsidRPr="00000000">
        <w:rPr>
          <w:rFonts w:ascii="Times New Roman" w:cs="Times New Roman" w:eastAsia="Times New Roman" w:hAnsi="Times New Roman"/>
          <w:color w:val="212529"/>
          <w:sz w:val="28"/>
          <w:szCs w:val="28"/>
          <w:rtl w:val="0"/>
        </w:rPr>
        <w:t xml:space="preserve"> (MAID) has become legal in 11 states and Washington, D.C. The </w:t>
      </w:r>
      <w:r w:rsidDel="00000000" w:rsidR="00000000" w:rsidRPr="00000000">
        <w:rPr>
          <w:rFonts w:ascii="Times New Roman" w:cs="Times New Roman" w:eastAsia="Times New Roman" w:hAnsi="Times New Roman"/>
          <w:i w:val="1"/>
          <w:color w:val="212529"/>
          <w:sz w:val="28"/>
          <w:szCs w:val="28"/>
          <w:rtl w:val="0"/>
        </w:rPr>
        <w:t xml:space="preserve">right to die</w:t>
      </w:r>
      <w:r w:rsidDel="00000000" w:rsidR="00000000" w:rsidRPr="00000000">
        <w:rPr>
          <w:rFonts w:ascii="Times New Roman" w:cs="Times New Roman" w:eastAsia="Times New Roman" w:hAnsi="Times New Roman"/>
          <w:color w:val="212529"/>
          <w:sz w:val="28"/>
          <w:szCs w:val="28"/>
          <w:rtl w:val="0"/>
        </w:rPr>
        <w:t xml:space="preserve"> conversation has been slowly making its way through individual state legislations spearheaded by </w:t>
      </w:r>
      <w:hyperlink r:id="rId40">
        <w:r w:rsidDel="00000000" w:rsidR="00000000" w:rsidRPr="00000000">
          <w:rPr>
            <w:rFonts w:ascii="Times New Roman" w:cs="Times New Roman" w:eastAsia="Times New Roman" w:hAnsi="Times New Roman"/>
            <w:color w:val="1271eb"/>
            <w:sz w:val="28"/>
            <w:szCs w:val="28"/>
            <w:u w:val="single"/>
            <w:rtl w:val="0"/>
          </w:rPr>
          <w:t xml:space="preserve">Compassion &amp; Choices</w:t>
        </w:r>
      </w:hyperlink>
      <w:r w:rsidDel="00000000" w:rsidR="00000000" w:rsidRPr="00000000">
        <w:rPr>
          <w:rFonts w:ascii="Times New Roman" w:cs="Times New Roman" w:eastAsia="Times New Roman" w:hAnsi="Times New Roman"/>
          <w:color w:val="212529"/>
          <w:sz w:val="28"/>
          <w:szCs w:val="28"/>
          <w:u w:val="single"/>
          <w:rtl w:val="0"/>
        </w:rPr>
        <w:t xml:space="preserve">, </w:t>
      </w:r>
      <w:hyperlink r:id="rId41">
        <w:r w:rsidDel="00000000" w:rsidR="00000000" w:rsidRPr="00000000">
          <w:rPr>
            <w:rFonts w:ascii="Times New Roman" w:cs="Times New Roman" w:eastAsia="Times New Roman" w:hAnsi="Times New Roman"/>
            <w:color w:val="1271eb"/>
            <w:sz w:val="28"/>
            <w:szCs w:val="28"/>
            <w:u w:val="single"/>
            <w:rtl w:val="0"/>
          </w:rPr>
          <w:t xml:space="preserve">Death with Dignity</w:t>
        </w:r>
      </w:hyperlink>
      <w:r w:rsidDel="00000000" w:rsidR="00000000" w:rsidRPr="00000000">
        <w:rPr>
          <w:rFonts w:ascii="Times New Roman" w:cs="Times New Roman" w:eastAsia="Times New Roman" w:hAnsi="Times New Roman"/>
          <w:color w:val="212529"/>
          <w:sz w:val="28"/>
          <w:szCs w:val="28"/>
          <w:rtl w:val="0"/>
        </w:rPr>
        <w:t xml:space="preserve">, </w:t>
      </w:r>
      <w:hyperlink r:id="rId42">
        <w:r w:rsidDel="00000000" w:rsidR="00000000" w:rsidRPr="00000000">
          <w:rPr>
            <w:rFonts w:ascii="Times New Roman" w:cs="Times New Roman" w:eastAsia="Times New Roman" w:hAnsi="Times New Roman"/>
            <w:color w:val="1271eb"/>
            <w:sz w:val="28"/>
            <w:szCs w:val="28"/>
            <w:u w:val="single"/>
            <w:rtl w:val="0"/>
          </w:rPr>
          <w:t xml:space="preserve">NHPCO</w:t>
        </w:r>
      </w:hyperlink>
      <w:r w:rsidDel="00000000" w:rsidR="00000000" w:rsidRPr="00000000">
        <w:rPr>
          <w:rFonts w:ascii="Times New Roman" w:cs="Times New Roman" w:eastAsia="Times New Roman" w:hAnsi="Times New Roman"/>
          <w:color w:val="212529"/>
          <w:sz w:val="28"/>
          <w:szCs w:val="28"/>
          <w:rtl w:val="0"/>
        </w:rPr>
        <w:t xml:space="preserve">, and </w:t>
      </w:r>
      <w:hyperlink r:id="rId43">
        <w:r w:rsidDel="00000000" w:rsidR="00000000" w:rsidRPr="00000000">
          <w:rPr>
            <w:rFonts w:ascii="Times New Roman" w:cs="Times New Roman" w:eastAsia="Times New Roman" w:hAnsi="Times New Roman"/>
            <w:color w:val="1271eb"/>
            <w:sz w:val="28"/>
            <w:szCs w:val="28"/>
            <w:u w:val="single"/>
            <w:rtl w:val="0"/>
          </w:rPr>
          <w:t xml:space="preserve">End of Life Choices</w:t>
        </w:r>
      </w:hyperlink>
      <w:r w:rsidDel="00000000" w:rsidR="00000000" w:rsidRPr="00000000">
        <w:rPr>
          <w:rFonts w:ascii="Times New Roman" w:cs="Times New Roman" w:eastAsia="Times New Roman" w:hAnsi="Times New Roman"/>
          <w:color w:val="212529"/>
          <w:sz w:val="28"/>
          <w:szCs w:val="28"/>
          <w:rtl w:val="0"/>
        </w:rPr>
        <w:t xml:space="preserve">. As of 2025, </w:t>
      </w:r>
      <w:hyperlink r:id="rId44">
        <w:r w:rsidDel="00000000" w:rsidR="00000000" w:rsidRPr="00000000">
          <w:rPr>
            <w:rFonts w:ascii="Times New Roman" w:cs="Times New Roman" w:eastAsia="Times New Roman" w:hAnsi="Times New Roman"/>
            <w:color w:val="1271eb"/>
            <w:sz w:val="28"/>
            <w:szCs w:val="28"/>
            <w:u w:val="single"/>
            <w:rtl w:val="0"/>
          </w:rPr>
          <w:t xml:space="preserve">states where legislation is under consideration</w:t>
        </w:r>
      </w:hyperlink>
      <w:r w:rsidDel="00000000" w:rsidR="00000000" w:rsidRPr="00000000">
        <w:rPr>
          <w:rFonts w:ascii="Times New Roman" w:cs="Times New Roman" w:eastAsia="Times New Roman" w:hAnsi="Times New Roman"/>
          <w:color w:val="212529"/>
          <w:sz w:val="28"/>
          <w:szCs w:val="28"/>
          <w:rtl w:val="0"/>
        </w:rPr>
        <w:t xml:space="preserve"> include Delaware, Massachusetts, Michigan, North Carolina, Pennsylvania, and Virginia.</w:t>
      </w:r>
    </w:p>
    <w:p w:rsidR="00000000" w:rsidDel="00000000" w:rsidP="00000000" w:rsidRDefault="00000000" w:rsidRPr="00000000" w14:paraId="0000001A">
      <w:pPr>
        <w:shd w:fill="ffffff" w:val="clear"/>
        <w:spacing w:after="200" w:line="276"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Peak 65</w:t>
      </w:r>
    </w:p>
    <w:p w:rsidR="00000000" w:rsidDel="00000000" w:rsidP="00000000" w:rsidRDefault="00000000" w:rsidRPr="00000000" w14:paraId="0000001B">
      <w:pPr>
        <w:shd w:fill="ffffff" w:val="clear"/>
        <w:spacing w:after="20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The U.S. Census named 2024 as the start of “</w:t>
      </w:r>
      <w:hyperlink r:id="rId45">
        <w:r w:rsidDel="00000000" w:rsidR="00000000" w:rsidRPr="00000000">
          <w:rPr>
            <w:rFonts w:ascii="Times New Roman" w:cs="Times New Roman" w:eastAsia="Times New Roman" w:hAnsi="Times New Roman"/>
            <w:color w:val="1271eb"/>
            <w:sz w:val="28"/>
            <w:szCs w:val="28"/>
            <w:u w:val="single"/>
            <w:rtl w:val="0"/>
          </w:rPr>
          <w:t xml:space="preserve">Peak 65</w:t>
        </w:r>
      </w:hyperlink>
      <w:r w:rsidDel="00000000" w:rsidR="00000000" w:rsidRPr="00000000">
        <w:rPr>
          <w:rFonts w:ascii="Times New Roman" w:cs="Times New Roman" w:eastAsia="Times New Roman" w:hAnsi="Times New Roman"/>
          <w:color w:val="212529"/>
          <w:sz w:val="28"/>
          <w:szCs w:val="28"/>
          <w:rtl w:val="0"/>
        </w:rPr>
        <w:t xml:space="preserve">,” a period that will last through 2027. Around 4.1 million Americans are expected to turn 65 each year from 2024 to 2027 (approximately 11,000 a day). By 2030, all baby boomers will be 65 or older. Implications of “Peak 65” include:</w:t>
      </w:r>
    </w:p>
    <w:p w:rsidR="00000000" w:rsidDel="00000000" w:rsidP="00000000" w:rsidRDefault="00000000" w:rsidRPr="00000000" w14:paraId="0000001C">
      <w:pPr>
        <w:numPr>
          <w:ilvl w:val="0"/>
          <w:numId w:val="1"/>
        </w:numPr>
        <w:shd w:fill="ffffff" w:val="clear"/>
        <w:spacing w:after="20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2529"/>
          <w:sz w:val="28"/>
          <w:szCs w:val="28"/>
          <w:rtl w:val="0"/>
        </w:rPr>
        <w:t xml:space="preserve">Long-term care: According to a </w:t>
      </w:r>
      <w:hyperlink r:id="rId46">
        <w:r w:rsidDel="00000000" w:rsidR="00000000" w:rsidRPr="00000000">
          <w:rPr>
            <w:rFonts w:ascii="Times New Roman" w:cs="Times New Roman" w:eastAsia="Times New Roman" w:hAnsi="Times New Roman"/>
            <w:color w:val="1271eb"/>
            <w:sz w:val="28"/>
            <w:szCs w:val="28"/>
            <w:u w:val="single"/>
            <w:rtl w:val="0"/>
          </w:rPr>
          <w:t xml:space="preserve">2002 Health Services Research study</w:t>
        </w:r>
      </w:hyperlink>
      <w:r w:rsidDel="00000000" w:rsidR="00000000" w:rsidRPr="00000000">
        <w:rPr>
          <w:rFonts w:ascii="Times New Roman" w:cs="Times New Roman" w:eastAsia="Times New Roman" w:hAnsi="Times New Roman"/>
          <w:color w:val="212529"/>
          <w:sz w:val="28"/>
          <w:szCs w:val="28"/>
          <w:rtl w:val="0"/>
        </w:rPr>
        <w:t xml:space="preserve">, the trickle-down economics of aging will impact younger generations, who may need to become caretakers for their aging loved ones. “The real challenges of caring for the elderly in 2030 will involve: 1) making sure society develops payment and insurance systems for long-term care that work better than existing ones, 2) taking advantage of advances in medicine and behavioral health to keep the elderly as healthy and active as possible, 3) changing the way society organizes community services so that care is more accessible, and 4) altering the cultural view of aging to make sure all ages are integrated into the fabric of community life.”</w:t>
      </w:r>
    </w:p>
    <w:p w:rsidR="00000000" w:rsidDel="00000000" w:rsidP="00000000" w:rsidRDefault="00000000" w:rsidRPr="00000000" w14:paraId="0000001D">
      <w:pPr>
        <w:numPr>
          <w:ilvl w:val="0"/>
          <w:numId w:val="1"/>
        </w:numPr>
        <w:shd w:fill="ffffff" w:val="clear"/>
        <w:spacing w:after="200" w:before="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2529"/>
          <w:sz w:val="28"/>
          <w:szCs w:val="28"/>
          <w:rtl w:val="0"/>
        </w:rPr>
        <w:t xml:space="preserve">Labor gap: Retirement will cause a </w:t>
      </w:r>
      <w:hyperlink r:id="rId47">
        <w:r w:rsidDel="00000000" w:rsidR="00000000" w:rsidRPr="00000000">
          <w:rPr>
            <w:rFonts w:ascii="Times New Roman" w:cs="Times New Roman" w:eastAsia="Times New Roman" w:hAnsi="Times New Roman"/>
            <w:color w:val="1271eb"/>
            <w:sz w:val="28"/>
            <w:szCs w:val="28"/>
            <w:u w:val="single"/>
            <w:rtl w:val="0"/>
          </w:rPr>
          <w:t xml:space="preserve">massive reduction in talent</w:t>
        </w:r>
      </w:hyperlink>
      <w:r w:rsidDel="00000000" w:rsidR="00000000" w:rsidRPr="00000000">
        <w:rPr>
          <w:rFonts w:ascii="Times New Roman" w:cs="Times New Roman" w:eastAsia="Times New Roman" w:hAnsi="Times New Roman"/>
          <w:color w:val="212529"/>
          <w:sz w:val="28"/>
          <w:szCs w:val="28"/>
          <w:rtl w:val="0"/>
        </w:rPr>
        <w:t xml:space="preserve">, leaving employers to lose expertise, and they may struggle to replace retiring workers.</w:t>
      </w:r>
    </w:p>
    <w:p w:rsidR="00000000" w:rsidDel="00000000" w:rsidP="00000000" w:rsidRDefault="00000000" w:rsidRPr="00000000" w14:paraId="0000001E">
      <w:pPr>
        <w:numPr>
          <w:ilvl w:val="0"/>
          <w:numId w:val="1"/>
        </w:numPr>
        <w:shd w:fill="ffffff" w:val="clear"/>
        <w:spacing w:after="20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2529"/>
          <w:sz w:val="28"/>
          <w:szCs w:val="28"/>
          <w:rtl w:val="0"/>
        </w:rPr>
        <w:t xml:space="preserve">Retirement: It’s a well-known fact that many boomers are entering an underfunded retirement and will face challenges with </w:t>
      </w:r>
      <w:hyperlink r:id="rId48">
        <w:r w:rsidDel="00000000" w:rsidR="00000000" w:rsidRPr="00000000">
          <w:rPr>
            <w:rFonts w:ascii="Times New Roman" w:cs="Times New Roman" w:eastAsia="Times New Roman" w:hAnsi="Times New Roman"/>
            <w:color w:val="1271eb"/>
            <w:sz w:val="28"/>
            <w:szCs w:val="28"/>
            <w:u w:val="single"/>
            <w:rtl w:val="0"/>
          </w:rPr>
          <w:t xml:space="preserve">dwindling finances</w:t>
        </w:r>
      </w:hyperlink>
      <w:r w:rsidDel="00000000" w:rsidR="00000000" w:rsidRPr="00000000">
        <w:rPr>
          <w:rFonts w:ascii="Times New Roman" w:cs="Times New Roman" w:eastAsia="Times New Roman" w:hAnsi="Times New Roman"/>
          <w:color w:val="212529"/>
          <w:sz w:val="28"/>
          <w:szCs w:val="28"/>
          <w:rtl w:val="0"/>
        </w:rPr>
        <w:t xml:space="preserve">.</w:t>
      </w:r>
    </w:p>
    <w:p w:rsidR="00000000" w:rsidDel="00000000" w:rsidP="00000000" w:rsidRDefault="00000000" w:rsidRPr="00000000" w14:paraId="0000001F">
      <w:pPr>
        <w:shd w:fill="ffffff" w:val="clear"/>
        <w:spacing w:after="200" w:before="240" w:line="276"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It is impossible to overstate how critical widespread death literacy adoption is for our society. As the demand for public-facing initiatives supporting end-of-life preparedness accelerates, ratification within professional environments validates the evolutionary arc of social transformation.</w:t>
      </w:r>
    </w:p>
    <w:p w:rsidR="00000000" w:rsidDel="00000000" w:rsidP="00000000" w:rsidRDefault="00000000" w:rsidRPr="00000000" w14:paraId="00000020">
      <w:pP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2529"/>
          <w:sz w:val="28"/>
          <w:szCs w:val="28"/>
          <w:rtl w:val="0"/>
        </w:rPr>
        <w:t xml:space="preserve">By building proficient narrative </w:t>
      </w:r>
      <w:r w:rsidDel="00000000" w:rsidR="00000000" w:rsidRPr="00000000">
        <w:rPr>
          <w:rFonts w:ascii="Times New Roman" w:cs="Times New Roman" w:eastAsia="Times New Roman" w:hAnsi="Times New Roman"/>
          <w:i w:val="1"/>
          <w:color w:val="212529"/>
          <w:sz w:val="28"/>
          <w:szCs w:val="28"/>
          <w:rtl w:val="0"/>
        </w:rPr>
        <w:t xml:space="preserve">long before the end</w:t>
      </w:r>
      <w:r w:rsidDel="00000000" w:rsidR="00000000" w:rsidRPr="00000000">
        <w:rPr>
          <w:rFonts w:ascii="Times New Roman" w:cs="Times New Roman" w:eastAsia="Times New Roman" w:hAnsi="Times New Roman"/>
          <w:color w:val="212529"/>
          <w:sz w:val="28"/>
          <w:szCs w:val="28"/>
          <w:rtl w:val="0"/>
        </w:rPr>
        <w:t xml:space="preserve">, entire populations will be better served before, during, and after the passing of loved ones.</w:t>
      </w:r>
      <w:r w:rsidDel="00000000" w:rsidR="00000000" w:rsidRPr="00000000">
        <w:rPr>
          <w:rtl w:val="0"/>
        </w:rPr>
      </w:r>
    </w:p>
    <w:sectPr>
      <w:headerReference r:id="rId49" w:type="default"/>
      <w:footerReference r:id="rId5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c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c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c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c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Georgia" w:cs="Georgia" w:eastAsia="Georgia" w:hAnsi="Georgia"/>
        <w:color w:val="212529"/>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40" Type="http://schemas.openxmlformats.org/officeDocument/2006/relationships/hyperlink" Target="http://compassionandchoices.org/" TargetMode="External"/><Relationship Id="rId42" Type="http://schemas.openxmlformats.org/officeDocument/2006/relationships/hyperlink" Target="http://nhpco.org/" TargetMode="External"/><Relationship Id="rId41" Type="http://schemas.openxmlformats.org/officeDocument/2006/relationships/hyperlink" Target="http://deathwithdignity.org/" TargetMode="External"/><Relationship Id="rId44" Type="http://schemas.openxmlformats.org/officeDocument/2006/relationships/hyperlink" Target="https://compassionandchoices.org/states-where-medical-aid-in-dying-is-authorized/" TargetMode="External"/><Relationship Id="rId43" Type="http://schemas.openxmlformats.org/officeDocument/2006/relationships/hyperlink" Target="http://endoflifechoicesny.org/" TargetMode="External"/><Relationship Id="rId46" Type="http://schemas.openxmlformats.org/officeDocument/2006/relationships/hyperlink" Target="https://pmc.ncbi.nlm.nih.gov/articles/PMC1464018/#:~:text" TargetMode="External"/><Relationship Id="rId45" Type="http://schemas.openxmlformats.org/officeDocument/2006/relationships/hyperlink" Target="https://www.cbsnews.com/news/retirement-medicare-401k-what-to-know-peak-6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lancet.com/journals/lanhl/article/PIIS2666-7568(21)00247-6/fulltext" TargetMode="External"/><Relationship Id="rId48" Type="http://schemas.openxmlformats.org/officeDocument/2006/relationships/hyperlink" Target="https://www.aarp.org/money/retirement/peak-boomer-readiness/" TargetMode="External"/><Relationship Id="rId47" Type="http://schemas.openxmlformats.org/officeDocument/2006/relationships/hyperlink" Target="https://401kspecialistmag.com/employers-worried-about-recruitment-as-peak-65-boomers-retire/" TargetMode="External"/><Relationship Id="rId4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bevival.com/" TargetMode="External"/><Relationship Id="rId7" Type="http://schemas.openxmlformats.org/officeDocument/2006/relationships/hyperlink" Target="http://carenmartineau.com/" TargetMode="External"/><Relationship Id="rId8" Type="http://schemas.openxmlformats.org/officeDocument/2006/relationships/hyperlink" Target="https://independentmediainstitute.org/earth-food-life/" TargetMode="External"/><Relationship Id="rId31" Type="http://schemas.openxmlformats.org/officeDocument/2006/relationships/hyperlink" Target="https://www.census.gov/library/publications/2014/demo/p25-1140.html" TargetMode="External"/><Relationship Id="rId30" Type="http://schemas.openxmlformats.org/officeDocument/2006/relationships/hyperlink" Target="https://frankostaseski.com/ostaseski-teachings/" TargetMode="External"/><Relationship Id="rId33" Type="http://schemas.openxmlformats.org/officeDocument/2006/relationships/hyperlink" Target="https://www.combo.co/whitepapers/the-silver-tsunami-is-here" TargetMode="External"/><Relationship Id="rId32" Type="http://schemas.openxmlformats.org/officeDocument/2006/relationships/hyperlink" Target="https://www.census.gov/library/publications/2014/demo/p25-1140.html" TargetMode="External"/><Relationship Id="rId35" Type="http://schemas.openxmlformats.org/officeDocument/2006/relationships/hyperlink" Target="https://time.com/tag/death/" TargetMode="External"/><Relationship Id="rId34" Type="http://schemas.openxmlformats.org/officeDocument/2006/relationships/hyperlink" Target="https://www.ncbi.nlm.nih.gov/books/NBK148831/" TargetMode="External"/><Relationship Id="rId37" Type="http://schemas.openxmlformats.org/officeDocument/2006/relationships/hyperlink" Target="https://www.nytimes.com/2017/05/25/world/canada/euthanasia-bill-john-shields-death.html" TargetMode="External"/><Relationship Id="rId36" Type="http://schemas.openxmlformats.org/officeDocument/2006/relationships/hyperlink" Target="https://www.aarp.org/money/retirement/celebrity-estate-planning-mistakes/" TargetMode="External"/><Relationship Id="rId39" Type="http://schemas.openxmlformats.org/officeDocument/2006/relationships/hyperlink" Target="https://compassionandchoices.org/states-where-medical-aid-in-dying-is-authorized/" TargetMode="External"/><Relationship Id="rId38" Type="http://schemas.openxmlformats.org/officeDocument/2006/relationships/hyperlink" Target="https://www.orderofthegooddeath.com/death-positive-movement/" TargetMode="External"/><Relationship Id="rId20" Type="http://schemas.openxmlformats.org/officeDocument/2006/relationships/hyperlink" Target="https://www.westernsydney.edu.au/__data/assets/pdf_file/0007/966301/EndofLife_Report_Final_14Sept.pdf" TargetMode="External"/><Relationship Id="rId22" Type="http://schemas.openxmlformats.org/officeDocument/2006/relationships/hyperlink" Target="https://www.nytimes.com/2018/06/22/nyregion/the-positive-death-movement-comes-to-life.html" TargetMode="External"/><Relationship Id="rId21" Type="http://schemas.openxmlformats.org/officeDocument/2006/relationships/hyperlink" Target="https://www.deathliteracy.institute/death-literacy-index-questions" TargetMode="External"/><Relationship Id="rId24" Type="http://schemas.openxmlformats.org/officeDocument/2006/relationships/hyperlink" Target="https://www.bevival.com/podcast" TargetMode="External"/><Relationship Id="rId23" Type="http://schemas.openxmlformats.org/officeDocument/2006/relationships/hyperlink" Target="https://www.linkedin.com/pulse/end-of-life-startup-roundup-daniel-shaw/" TargetMode="External"/><Relationship Id="rId26" Type="http://schemas.openxmlformats.org/officeDocument/2006/relationships/hyperlink" Target="http://endwellproject.org/" TargetMode="External"/><Relationship Id="rId25" Type="http://schemas.openxmlformats.org/officeDocument/2006/relationships/hyperlink" Target="http://letsreimagine.org/" TargetMode="External"/><Relationship Id="rId28" Type="http://schemas.openxmlformats.org/officeDocument/2006/relationships/hyperlink" Target="https://irabyock.org/" TargetMode="External"/><Relationship Id="rId27" Type="http://schemas.openxmlformats.org/officeDocument/2006/relationships/hyperlink" Target="http://bevival.com/" TargetMode="External"/><Relationship Id="rId29" Type="http://schemas.openxmlformats.org/officeDocument/2006/relationships/hyperlink" Target="https://en.wikipedia.org/wiki/Katy_Butler" TargetMode="External"/><Relationship Id="rId50" Type="http://schemas.openxmlformats.org/officeDocument/2006/relationships/footer" Target="footer1.xml"/><Relationship Id="rId11" Type="http://schemas.openxmlformats.org/officeDocument/2006/relationships/hyperlink" Target="https://www.nature.com/articles/s41598-024-82421-8#ref-CR5" TargetMode="External"/><Relationship Id="rId10" Type="http://schemas.openxmlformats.org/officeDocument/2006/relationships/hyperlink" Target="https://researchers.westernsydney.edu.au/en/publications/developing-death-literacy" TargetMode="External"/><Relationship Id="rId13" Type="http://schemas.openxmlformats.org/officeDocument/2006/relationships/hyperlink" Target="https://blogs.loc.gov/law/2022/09/evolution-of-american-funerary-customs-and-laws/" TargetMode="External"/><Relationship Id="rId12" Type="http://schemas.openxmlformats.org/officeDocument/2006/relationships/hyperlink" Target="https://pmc.ncbi.nlm.nih.gov/articles/PMC11418362/#bibr1-26323524241274806" TargetMode="External"/><Relationship Id="rId15" Type="http://schemas.openxmlformats.org/officeDocument/2006/relationships/hyperlink" Target="https://en.wikipedia.org/wiki/Peta_Murray" TargetMode="External"/><Relationship Id="rId14" Type="http://schemas.openxmlformats.org/officeDocument/2006/relationships/hyperlink" Target="https://www.deathliteracy.institute/kerrie-noonan" TargetMode="External"/><Relationship Id="rId17" Type="http://schemas.openxmlformats.org/officeDocument/2006/relationships/hyperlink" Target="https://proveda.com.au/our-services/end-of-life/" TargetMode="External"/><Relationship Id="rId16" Type="http://schemas.openxmlformats.org/officeDocument/2006/relationships/hyperlink" Target="https://www.eqt.com.au/philanthropy/jo-and-jr-wicking-trust/the-groundswell-project" TargetMode="External"/><Relationship Id="rId19" Type="http://schemas.openxmlformats.org/officeDocument/2006/relationships/hyperlink" Target="https://www.facebook.com/D2KDusa/?checkpoint_src=any" TargetMode="External"/><Relationship Id="rId18" Type="http://schemas.openxmlformats.org/officeDocument/2006/relationships/hyperlink" Target="https://proveda.com.au/community-programs/dying-to-know-day/#:~:text=Dying%20to%20Know%20Day%20was,place%20annually%20on%20August%208t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