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5A0751" w:rsidRDefault="00000000">
      <w:pPr>
        <w:widowControl w:val="0"/>
        <w:spacing w:before="200" w:line="276"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Headline:</w:t>
      </w:r>
      <w:r>
        <w:rPr>
          <w:rFonts w:ascii="Times New Roman" w:eastAsia="Times New Roman" w:hAnsi="Times New Roman" w:cs="Times New Roman"/>
          <w:sz w:val="28"/>
          <w:szCs w:val="28"/>
        </w:rPr>
        <w:t xml:space="preserve"> The Central Role of Collaboration and Trust in Human Societies</w:t>
      </w:r>
    </w:p>
    <w:p w14:paraId="00000002" w14:textId="77777777" w:rsidR="005A0751" w:rsidRDefault="00000000">
      <w:pPr>
        <w:widowControl w:val="0"/>
        <w:spacing w:before="200" w:line="276"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Teaser: </w:t>
      </w:r>
      <w:r>
        <w:rPr>
          <w:rFonts w:ascii="Times New Roman" w:eastAsia="Times New Roman" w:hAnsi="Times New Roman" w:cs="Times New Roman"/>
          <w:sz w:val="28"/>
          <w:szCs w:val="28"/>
        </w:rPr>
        <w:t xml:space="preserve">The concept of </w:t>
      </w:r>
      <w:proofErr w:type="spellStart"/>
      <w:r>
        <w:rPr>
          <w:rFonts w:ascii="Times New Roman" w:eastAsia="Times New Roman" w:hAnsi="Times New Roman" w:cs="Times New Roman"/>
          <w:sz w:val="28"/>
          <w:szCs w:val="28"/>
        </w:rPr>
        <w:t>heterarchy</w:t>
      </w:r>
      <w:proofErr w:type="spellEnd"/>
      <w:r>
        <w:rPr>
          <w:rFonts w:ascii="Times New Roman" w:eastAsia="Times New Roman" w:hAnsi="Times New Roman" w:cs="Times New Roman"/>
          <w:sz w:val="28"/>
          <w:szCs w:val="28"/>
        </w:rPr>
        <w:t xml:space="preserve"> has joined a developing paradigm shift in </w:t>
      </w:r>
      <w:proofErr w:type="gramStart"/>
      <w:r>
        <w:rPr>
          <w:rFonts w:ascii="Times New Roman" w:eastAsia="Times New Roman" w:hAnsi="Times New Roman" w:cs="Times New Roman"/>
          <w:sz w:val="28"/>
          <w:szCs w:val="28"/>
        </w:rPr>
        <w:t>the social</w:t>
      </w:r>
      <w:proofErr w:type="gramEnd"/>
      <w:r>
        <w:rPr>
          <w:rFonts w:ascii="Times New Roman" w:eastAsia="Times New Roman" w:hAnsi="Times New Roman" w:cs="Times New Roman"/>
          <w:sz w:val="28"/>
          <w:szCs w:val="28"/>
        </w:rPr>
        <w:t xml:space="preserve"> sciences.</w:t>
      </w:r>
    </w:p>
    <w:p w14:paraId="00000003" w14:textId="77777777" w:rsidR="005A0751" w:rsidRDefault="00000000">
      <w:pPr>
        <w:widowControl w:val="0"/>
        <w:spacing w:before="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By Carole Crumley</w:t>
      </w:r>
    </w:p>
    <w:p w14:paraId="00000004" w14:textId="77777777" w:rsidR="005A0751" w:rsidRDefault="00000000">
      <w:pPr>
        <w:widowControl w:val="0"/>
        <w:spacing w:before="200" w:line="276"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Author Bio:</w:t>
      </w:r>
      <w:r>
        <w:rPr>
          <w:rFonts w:ascii="Times New Roman" w:eastAsia="Times New Roman" w:hAnsi="Times New Roman" w:cs="Times New Roman"/>
          <w:sz w:val="28"/>
          <w:szCs w:val="28"/>
        </w:rPr>
        <w:t xml:space="preserve"> Professor of anthropology (emerita) at the </w:t>
      </w:r>
      <w:hyperlink r:id="rId6">
        <w:r>
          <w:rPr>
            <w:rFonts w:ascii="Times New Roman" w:eastAsia="Times New Roman" w:hAnsi="Times New Roman" w:cs="Times New Roman"/>
            <w:color w:val="1155CC"/>
            <w:sz w:val="28"/>
            <w:szCs w:val="28"/>
            <w:u w:val="single"/>
          </w:rPr>
          <w:t>University of North Carolina at Chapel Hill</w:t>
        </w:r>
      </w:hyperlink>
      <w:r>
        <w:rPr>
          <w:rFonts w:ascii="Times New Roman" w:eastAsia="Times New Roman" w:hAnsi="Times New Roman" w:cs="Times New Roman"/>
          <w:sz w:val="28"/>
          <w:szCs w:val="28"/>
        </w:rPr>
        <w:t xml:space="preserve">, Carole Crumley is a founding scientist of the research strategy termed historical ecology. Her key concept of </w:t>
      </w:r>
      <w:proofErr w:type="spellStart"/>
      <w:r>
        <w:rPr>
          <w:rFonts w:ascii="Times New Roman" w:eastAsia="Times New Roman" w:hAnsi="Times New Roman" w:cs="Times New Roman"/>
          <w:sz w:val="28"/>
          <w:szCs w:val="28"/>
        </w:rPr>
        <w:t>heterarchy</w:t>
      </w:r>
      <w:proofErr w:type="spellEnd"/>
      <w:r>
        <w:rPr>
          <w:rFonts w:ascii="Times New Roman" w:eastAsia="Times New Roman" w:hAnsi="Times New Roman" w:cs="Times New Roman"/>
          <w:sz w:val="28"/>
          <w:szCs w:val="28"/>
        </w:rPr>
        <w:t xml:space="preserve"> is now applied to studies of societal and environmental change. She is the director of the </w:t>
      </w:r>
      <w:hyperlink r:id="rId7">
        <w:r>
          <w:rPr>
            <w:rFonts w:ascii="Times New Roman" w:eastAsia="Times New Roman" w:hAnsi="Times New Roman" w:cs="Times New Roman"/>
            <w:color w:val="1155CC"/>
            <w:sz w:val="28"/>
            <w:szCs w:val="28"/>
            <w:u w:val="single"/>
          </w:rPr>
          <w:t>Integrated History and Future of People on Earth</w:t>
        </w:r>
      </w:hyperlink>
      <w:r>
        <w:rPr>
          <w:rFonts w:ascii="Times New Roman" w:eastAsia="Times New Roman" w:hAnsi="Times New Roman" w:cs="Times New Roman"/>
          <w:sz w:val="28"/>
          <w:szCs w:val="28"/>
        </w:rPr>
        <w:t xml:space="preserve"> (IHOPE) initiative, a global network of researchers based at Sweden’s Uppsala University that unites the biophysical and social sciences and community voices to build a livable future.</w:t>
      </w:r>
    </w:p>
    <w:p w14:paraId="00000005" w14:textId="77777777" w:rsidR="005A0751" w:rsidRDefault="00000000">
      <w:pPr>
        <w:widowControl w:val="0"/>
        <w:spacing w:before="200" w:line="276"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Credit Line:</w:t>
      </w: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 xml:space="preserve">This article was produced by </w:t>
      </w:r>
      <w:hyperlink r:id="rId8">
        <w:r>
          <w:rPr>
            <w:rFonts w:ascii="Times New Roman" w:eastAsia="Times New Roman" w:hAnsi="Times New Roman" w:cs="Times New Roman"/>
            <w:i/>
            <w:color w:val="1155CC"/>
            <w:sz w:val="28"/>
            <w:szCs w:val="28"/>
            <w:u w:val="single"/>
          </w:rPr>
          <w:t>Human Bridges</w:t>
        </w:r>
      </w:hyperlink>
      <w:r>
        <w:rPr>
          <w:rFonts w:ascii="Times New Roman" w:eastAsia="Times New Roman" w:hAnsi="Times New Roman" w:cs="Times New Roman"/>
          <w:i/>
          <w:sz w:val="28"/>
          <w:szCs w:val="28"/>
        </w:rPr>
        <w:t>.</w:t>
      </w:r>
    </w:p>
    <w:p w14:paraId="00000006" w14:textId="77777777" w:rsidR="005A0751" w:rsidRDefault="00000000">
      <w:pPr>
        <w:widowControl w:val="0"/>
        <w:spacing w:before="200" w:line="276"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Tags:</w:t>
      </w:r>
      <w:r>
        <w:rPr>
          <w:rFonts w:ascii="Times New Roman" w:eastAsia="Times New Roman" w:hAnsi="Times New Roman" w:cs="Times New Roman"/>
          <w:sz w:val="28"/>
          <w:szCs w:val="28"/>
        </w:rPr>
        <w:t xml:space="preserve"> History, Social Science, Science, Politics, Economy, Opinion</w:t>
      </w:r>
    </w:p>
    <w:p w14:paraId="00000007" w14:textId="77777777" w:rsidR="005A0751" w:rsidRDefault="005A0751">
      <w:pPr>
        <w:widowControl w:val="0"/>
        <w:spacing w:before="200" w:line="276" w:lineRule="auto"/>
        <w:rPr>
          <w:rFonts w:ascii="Times New Roman" w:eastAsia="Times New Roman" w:hAnsi="Times New Roman" w:cs="Times New Roman"/>
          <w:b/>
          <w:sz w:val="28"/>
          <w:szCs w:val="28"/>
        </w:rPr>
      </w:pPr>
    </w:p>
    <w:p w14:paraId="00000008" w14:textId="77777777" w:rsidR="005A0751" w:rsidRDefault="00000000">
      <w:pPr>
        <w:widowControl w:val="0"/>
        <w:spacing w:before="200" w:line="276"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[Article Body:]</w:t>
      </w:r>
    </w:p>
    <w:p w14:paraId="00000009" w14:textId="77777777" w:rsidR="005A0751" w:rsidRDefault="00000000">
      <w:pPr>
        <w:widowControl w:val="0"/>
        <w:spacing w:before="20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How do we organize elements in a system? One way is through the lens of hierarchy, which presupposes levels, a top-down ranking of elements. Another is </w:t>
      </w:r>
      <w:proofErr w:type="spellStart"/>
      <w:r>
        <w:rPr>
          <w:rFonts w:ascii="Times New Roman" w:eastAsia="Times New Roman" w:hAnsi="Times New Roman" w:cs="Times New Roman"/>
          <w:color w:val="000000"/>
          <w:sz w:val="28"/>
          <w:szCs w:val="28"/>
        </w:rPr>
        <w:t>homoarchy</w:t>
      </w:r>
      <w:proofErr w:type="spellEnd"/>
      <w:r>
        <w:rPr>
          <w:rFonts w:ascii="Times New Roman" w:eastAsia="Times New Roman" w:hAnsi="Times New Roman" w:cs="Times New Roman"/>
          <w:color w:val="000000"/>
          <w:sz w:val="28"/>
          <w:szCs w:val="28"/>
        </w:rPr>
        <w:t xml:space="preserve">, which permits one (and only one) ordering. Both terms, while useful to characterize a stable formation, do not accommodate the dynamics of complex systems. </w:t>
      </w:r>
      <w:proofErr w:type="spellStart"/>
      <w:r>
        <w:rPr>
          <w:rFonts w:ascii="Times New Roman" w:eastAsia="Times New Roman" w:hAnsi="Times New Roman" w:cs="Times New Roman"/>
          <w:color w:val="000000"/>
          <w:sz w:val="28"/>
          <w:szCs w:val="28"/>
        </w:rPr>
        <w:t>Heterarchy</w:t>
      </w:r>
      <w:proofErr w:type="spellEnd"/>
      <w:r>
        <w:rPr>
          <w:rFonts w:ascii="Times New Roman" w:eastAsia="Times New Roman" w:hAnsi="Times New Roman" w:cs="Times New Roman"/>
          <w:color w:val="000000"/>
          <w:sz w:val="28"/>
          <w:szCs w:val="28"/>
        </w:rPr>
        <w:t>, by contrast, embraces the diversity of relationships among elements and encourages the study of systemic change over time.</w:t>
      </w:r>
    </w:p>
    <w:p w14:paraId="0000000A" w14:textId="77777777" w:rsidR="005A0751" w:rsidRDefault="00000000">
      <w:pPr>
        <w:widowControl w:val="0"/>
        <w:spacing w:before="20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The definition of </w:t>
      </w:r>
      <w:proofErr w:type="spellStart"/>
      <w:r>
        <w:rPr>
          <w:rFonts w:ascii="Times New Roman" w:eastAsia="Times New Roman" w:hAnsi="Times New Roman" w:cs="Times New Roman"/>
          <w:color w:val="000000"/>
          <w:sz w:val="28"/>
          <w:szCs w:val="28"/>
        </w:rPr>
        <w:t>heterarchy</w:t>
      </w:r>
      <w:proofErr w:type="spellEnd"/>
      <w:r>
        <w:rPr>
          <w:rFonts w:ascii="Times New Roman" w:eastAsia="Times New Roman" w:hAnsi="Times New Roman" w:cs="Times New Roman"/>
          <w:color w:val="000000"/>
          <w:sz w:val="28"/>
          <w:szCs w:val="28"/>
        </w:rPr>
        <w:t xml:space="preserve"> varies only slightly depending on the scientific discipline and application. For mathematician and computer scientist </w:t>
      </w:r>
      <w:hyperlink r:id="rId9">
        <w:r>
          <w:rPr>
            <w:rFonts w:ascii="Times New Roman" w:eastAsia="Times New Roman" w:hAnsi="Times New Roman" w:cs="Times New Roman"/>
            <w:color w:val="1155CC"/>
            <w:sz w:val="28"/>
            <w:szCs w:val="28"/>
            <w:u w:val="single"/>
          </w:rPr>
          <w:t>Douglas Hofstadter</w:t>
        </w:r>
      </w:hyperlink>
      <w:r>
        <w:rPr>
          <w:rFonts w:ascii="Times New Roman" w:eastAsia="Times New Roman" w:hAnsi="Times New Roman" w:cs="Times New Roman"/>
          <w:sz w:val="28"/>
          <w:szCs w:val="28"/>
        </w:rPr>
        <w:t>,</w:t>
      </w:r>
      <w:r>
        <w:rPr>
          <w:rFonts w:ascii="Times New Roman" w:eastAsia="Times New Roman" w:hAnsi="Times New Roman" w:cs="Times New Roman"/>
          <w:color w:val="000000"/>
          <w:sz w:val="28"/>
          <w:szCs w:val="28"/>
          <w:vertAlign w:val="superscript"/>
        </w:rPr>
        <w:footnoteReference w:id="1"/>
      </w:r>
      <w:r>
        <w:rPr>
          <w:rFonts w:ascii="Times New Roman" w:eastAsia="Times New Roman" w:hAnsi="Times New Roman" w:cs="Times New Roman"/>
          <w:color w:val="000000"/>
          <w:sz w:val="28"/>
          <w:szCs w:val="28"/>
        </w:rPr>
        <w:t xml:space="preserve"> it is a system in which there is no “</w:t>
      </w:r>
      <w:hyperlink r:id="rId10">
        <w:r>
          <w:rPr>
            <w:rFonts w:ascii="Times New Roman" w:eastAsia="Times New Roman" w:hAnsi="Times New Roman" w:cs="Times New Roman"/>
            <w:color w:val="1155CC"/>
            <w:sz w:val="28"/>
            <w:szCs w:val="28"/>
            <w:u w:val="single"/>
          </w:rPr>
          <w:t>highest level</w:t>
        </w:r>
      </w:hyperlink>
      <w:r>
        <w:rPr>
          <w:rFonts w:ascii="Times New Roman" w:eastAsia="Times New Roman" w:hAnsi="Times New Roman" w:cs="Times New Roman"/>
          <w:color w:val="000000"/>
          <w:sz w:val="28"/>
          <w:szCs w:val="28"/>
        </w:rPr>
        <w:t xml:space="preserve">.” For sociologist </w:t>
      </w:r>
      <w:hyperlink r:id="rId11">
        <w:r>
          <w:rPr>
            <w:rFonts w:ascii="Times New Roman" w:eastAsia="Times New Roman" w:hAnsi="Times New Roman" w:cs="Times New Roman"/>
            <w:color w:val="1155CC"/>
            <w:sz w:val="28"/>
            <w:szCs w:val="28"/>
            <w:u w:val="single"/>
          </w:rPr>
          <w:t>David Stark</w:t>
        </w:r>
      </w:hyperlink>
      <w:r>
        <w:rPr>
          <w:rFonts w:ascii="Times New Roman" w:eastAsia="Times New Roman" w:hAnsi="Times New Roman" w:cs="Times New Roman"/>
          <w:sz w:val="28"/>
          <w:szCs w:val="28"/>
        </w:rPr>
        <w:t>,</w:t>
      </w:r>
      <w:r>
        <w:rPr>
          <w:rFonts w:ascii="Times New Roman" w:eastAsia="Times New Roman" w:hAnsi="Times New Roman" w:cs="Times New Roman"/>
          <w:color w:val="000000"/>
          <w:sz w:val="28"/>
          <w:szCs w:val="28"/>
          <w:vertAlign w:val="superscript"/>
        </w:rPr>
        <w:footnoteReference w:id="2"/>
      </w:r>
      <w:r>
        <w:rPr>
          <w:rFonts w:ascii="Times New Roman" w:eastAsia="Times New Roman" w:hAnsi="Times New Roman" w:cs="Times New Roman"/>
          <w:sz w:val="28"/>
          <w:szCs w:val="28"/>
        </w:rPr>
        <w:t xml:space="preserve"> </w:t>
      </w:r>
      <w:hyperlink r:id="rId12">
        <w:r>
          <w:rPr>
            <w:rFonts w:ascii="Times New Roman" w:eastAsia="Times New Roman" w:hAnsi="Times New Roman" w:cs="Times New Roman"/>
            <w:color w:val="1155CC"/>
            <w:sz w:val="28"/>
            <w:szCs w:val="28"/>
            <w:u w:val="single"/>
          </w:rPr>
          <w:t>it’s</w:t>
        </w:r>
      </w:hyperlink>
      <w:r>
        <w:rPr>
          <w:rFonts w:ascii="Times New Roman" w:eastAsia="Times New Roman" w:hAnsi="Times New Roman" w:cs="Times New Roman"/>
          <w:color w:val="000000"/>
          <w:sz w:val="28"/>
          <w:szCs w:val="28"/>
        </w:rPr>
        <w:t xml:space="preserve"> “an emergent organizational form with distinctive network </w:t>
      </w:r>
      <w:r>
        <w:rPr>
          <w:rFonts w:ascii="Times New Roman" w:eastAsia="Times New Roman" w:hAnsi="Times New Roman" w:cs="Times New Roman"/>
          <w:color w:val="000000"/>
          <w:sz w:val="28"/>
          <w:szCs w:val="28"/>
        </w:rPr>
        <w:lastRenderedPageBreak/>
        <w:t xml:space="preserve">properties… and multiple organizing principles.” Social theorist </w:t>
      </w:r>
      <w:hyperlink r:id="rId13">
        <w:r>
          <w:rPr>
            <w:rFonts w:ascii="Times New Roman" w:eastAsia="Times New Roman" w:hAnsi="Times New Roman" w:cs="Times New Roman"/>
            <w:color w:val="1155CC"/>
            <w:sz w:val="28"/>
            <w:szCs w:val="28"/>
            <w:u w:val="single"/>
          </w:rPr>
          <w:t xml:space="preserve">Kyriakos </w:t>
        </w:r>
      </w:hyperlink>
      <w:hyperlink r:id="rId14">
        <w:r>
          <w:rPr>
            <w:rFonts w:ascii="Times New Roman" w:eastAsia="Times New Roman" w:hAnsi="Times New Roman" w:cs="Times New Roman"/>
            <w:color w:val="1155CC"/>
            <w:sz w:val="28"/>
            <w:szCs w:val="28"/>
            <w:u w:val="single"/>
          </w:rPr>
          <w:t>Kontopoulos</w:t>
        </w:r>
      </w:hyperlink>
      <w:r>
        <w:rPr>
          <w:rFonts w:ascii="Times New Roman" w:eastAsia="Times New Roman" w:hAnsi="Times New Roman" w:cs="Times New Roman"/>
          <w:color w:val="000000"/>
          <w:sz w:val="28"/>
          <w:szCs w:val="28"/>
          <w:vertAlign w:val="superscript"/>
        </w:rPr>
        <w:footnoteReference w:id="3"/>
      </w:r>
      <w:r>
        <w:rPr>
          <w:rFonts w:ascii="Times New Roman" w:eastAsia="Times New Roman" w:hAnsi="Times New Roman" w:cs="Times New Roman"/>
          <w:color w:val="000000"/>
          <w:sz w:val="28"/>
          <w:szCs w:val="28"/>
        </w:rPr>
        <w:t xml:space="preserve"> defines it as “a partially ordered level structure implicating a rampant interactional complexity.” In anthropology and archaeology, a general-purpose definition suits a variety of contexts: the relation of elements to one another when they are unranked, or when they possess the potential for being ranked in different ways, depending on </w:t>
      </w:r>
      <w:hyperlink r:id="rId15">
        <w:r>
          <w:rPr>
            <w:rFonts w:ascii="Times New Roman" w:eastAsia="Times New Roman" w:hAnsi="Times New Roman" w:cs="Times New Roman"/>
            <w:color w:val="1155CC"/>
            <w:sz w:val="28"/>
            <w:szCs w:val="28"/>
            <w:u w:val="single"/>
          </w:rPr>
          <w:t>systemic requirements</w:t>
        </w:r>
      </w:hyperlink>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vertAlign w:val="superscript"/>
        </w:rPr>
        <w:footnoteReference w:id="4"/>
      </w:r>
      <w:r>
        <w:rPr>
          <w:rFonts w:ascii="Times New Roman" w:eastAsia="Times New Roman" w:hAnsi="Times New Roman" w:cs="Times New Roman"/>
          <w:color w:val="000000"/>
          <w:sz w:val="28"/>
          <w:szCs w:val="28"/>
        </w:rPr>
        <w:t xml:space="preserve"> These definitions offer an arena for examining diversity and change in systems, organizations, and structures.</w:t>
      </w:r>
    </w:p>
    <w:p w14:paraId="0000000B" w14:textId="77777777" w:rsidR="005A0751" w:rsidRDefault="00000000">
      <w:pPr>
        <w:widowControl w:val="0"/>
        <w:spacing w:before="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One of the appealing qualities of </w:t>
      </w:r>
      <w:proofErr w:type="spellStart"/>
      <w:r>
        <w:rPr>
          <w:rFonts w:ascii="Times New Roman" w:eastAsia="Times New Roman" w:hAnsi="Times New Roman" w:cs="Times New Roman"/>
          <w:sz w:val="28"/>
          <w:szCs w:val="28"/>
        </w:rPr>
        <w:t>heterarchy</w:t>
      </w:r>
      <w:proofErr w:type="spellEnd"/>
      <w:r>
        <w:rPr>
          <w:rFonts w:ascii="Times New Roman" w:eastAsia="Times New Roman" w:hAnsi="Times New Roman" w:cs="Times New Roman"/>
          <w:sz w:val="28"/>
          <w:szCs w:val="28"/>
        </w:rPr>
        <w:t xml:space="preserve"> is its flexibility, which is why it has become </w:t>
      </w:r>
      <w:hyperlink r:id="rId16">
        <w:r>
          <w:rPr>
            <w:rFonts w:ascii="Times New Roman" w:eastAsia="Times New Roman" w:hAnsi="Times New Roman" w:cs="Times New Roman"/>
            <w:color w:val="1155CC"/>
            <w:sz w:val="28"/>
            <w:szCs w:val="28"/>
            <w:u w:val="single"/>
          </w:rPr>
          <w:t>popular</w:t>
        </w:r>
      </w:hyperlink>
      <w:r>
        <w:rPr>
          <w:rFonts w:ascii="Times New Roman" w:eastAsia="Times New Roman" w:hAnsi="Times New Roman" w:cs="Times New Roman"/>
          <w:sz w:val="28"/>
          <w:szCs w:val="28"/>
        </w:rPr>
        <w:t xml:space="preserve"> in biological, physical, and social sciences</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vertAlign w:val="superscript"/>
        </w:rPr>
        <w:footnoteReference w:id="5"/>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 xml:space="preserve">There is now clear evidence that economic, political, and social power take many governmental forms that are never entirely hierarchical, even in autocratic states. As shown in </w:t>
      </w:r>
      <w:hyperlink r:id="rId17">
        <w:r>
          <w:rPr>
            <w:rFonts w:ascii="Times New Roman" w:eastAsia="Times New Roman" w:hAnsi="Times New Roman" w:cs="Times New Roman"/>
            <w:i/>
            <w:color w:val="1155CC"/>
            <w:sz w:val="28"/>
            <w:szCs w:val="28"/>
            <w:u w:val="single"/>
          </w:rPr>
          <w:t xml:space="preserve">Historical Ecologies, </w:t>
        </w:r>
        <w:proofErr w:type="spellStart"/>
        <w:r>
          <w:rPr>
            <w:rFonts w:ascii="Times New Roman" w:eastAsia="Times New Roman" w:hAnsi="Times New Roman" w:cs="Times New Roman"/>
            <w:i/>
            <w:color w:val="1155CC"/>
            <w:sz w:val="28"/>
            <w:szCs w:val="28"/>
            <w:u w:val="single"/>
          </w:rPr>
          <w:t>Heterarchies</w:t>
        </w:r>
        <w:proofErr w:type="spellEnd"/>
        <w:r>
          <w:rPr>
            <w:rFonts w:ascii="Times New Roman" w:eastAsia="Times New Roman" w:hAnsi="Times New Roman" w:cs="Times New Roman"/>
            <w:i/>
            <w:color w:val="1155CC"/>
            <w:sz w:val="28"/>
            <w:szCs w:val="28"/>
            <w:u w:val="single"/>
          </w:rPr>
          <w:t>, and Transtemporal Landscapes</w:t>
        </w:r>
      </w:hyperlink>
      <w:r>
        <w:rPr>
          <w:rFonts w:ascii="Times New Roman" w:eastAsia="Times New Roman" w:hAnsi="Times New Roman" w:cs="Times New Roman"/>
          <w:sz w:val="28"/>
          <w:szCs w:val="28"/>
        </w:rPr>
        <w:t>,</w:t>
      </w:r>
      <w:r>
        <w:rPr>
          <w:rFonts w:ascii="Times New Roman" w:eastAsia="Times New Roman" w:hAnsi="Times New Roman" w:cs="Times New Roman"/>
          <w:sz w:val="28"/>
          <w:szCs w:val="28"/>
          <w:vertAlign w:val="superscript"/>
        </w:rPr>
        <w:footnoteReference w:id="6"/>
      </w:r>
      <w:r>
        <w:rPr>
          <w:rFonts w:ascii="Times New Roman" w:eastAsia="Times New Roman" w:hAnsi="Times New Roman" w:cs="Times New Roman"/>
          <w:sz w:val="28"/>
          <w:szCs w:val="28"/>
        </w:rPr>
        <w:t xml:space="preserve"> stable collaborative governance has a long history, both hierarchical and heterarchical relations are complex, and together they enable the analysis of shifting forms of power over time.</w:t>
      </w:r>
    </w:p>
    <w:p w14:paraId="0000000C" w14:textId="77777777" w:rsidR="005A0751" w:rsidRDefault="00000000">
      <w:pPr>
        <w:widowControl w:val="0"/>
        <w:spacing w:before="200"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Defining Complexity</w:t>
      </w:r>
    </w:p>
    <w:p w14:paraId="0000000D" w14:textId="77777777" w:rsidR="005A0751" w:rsidRDefault="00000000">
      <w:pPr>
        <w:widowControl w:val="0"/>
        <w:spacing w:before="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real challenge is to define “complexity” rather than </w:t>
      </w:r>
      <w:proofErr w:type="spellStart"/>
      <w:r>
        <w:rPr>
          <w:rFonts w:ascii="Times New Roman" w:eastAsia="Times New Roman" w:hAnsi="Times New Roman" w:cs="Times New Roman"/>
          <w:sz w:val="28"/>
          <w:szCs w:val="28"/>
        </w:rPr>
        <w:t>heterarchy</w:t>
      </w:r>
      <w:proofErr w:type="spellEnd"/>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 xml:space="preserve">Social scientists have long uncritically embraced models that define social complexity in terms of </w:t>
      </w:r>
      <w:r>
        <w:rPr>
          <w:rFonts w:ascii="Times New Roman" w:eastAsia="Times New Roman" w:hAnsi="Times New Roman" w:cs="Times New Roman"/>
          <w:i/>
          <w:color w:val="000000"/>
          <w:sz w:val="28"/>
          <w:szCs w:val="28"/>
        </w:rPr>
        <w:t>levels</w:t>
      </w:r>
      <w:r>
        <w:rPr>
          <w:rFonts w:ascii="Times New Roman" w:eastAsia="Times New Roman" w:hAnsi="Times New Roman" w:cs="Times New Roman"/>
          <w:color w:val="000000"/>
          <w:sz w:val="28"/>
          <w:szCs w:val="28"/>
        </w:rPr>
        <w:t xml:space="preserve"> (a spatial position on a vertical axis) of organization. In the </w:t>
      </w:r>
      <w:hyperlink r:id="rId18">
        <w:r>
          <w:rPr>
            <w:rFonts w:ascii="Times New Roman" w:eastAsia="Times New Roman" w:hAnsi="Times New Roman" w:cs="Times New Roman"/>
            <w:color w:val="1155CC"/>
            <w:sz w:val="28"/>
            <w:szCs w:val="28"/>
            <w:u w:val="single"/>
          </w:rPr>
          <w:t>biophysical sciences</w:t>
        </w:r>
      </w:hyperlink>
      <w:r>
        <w:rPr>
          <w:rFonts w:ascii="Times New Roman" w:eastAsia="Times New Roman" w:hAnsi="Times New Roman" w:cs="Times New Roman"/>
          <w:sz w:val="28"/>
          <w:szCs w:val="28"/>
        </w:rPr>
        <w:t>,</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i/>
          <w:color w:val="000000"/>
          <w:sz w:val="28"/>
          <w:szCs w:val="28"/>
        </w:rPr>
        <w:t>complex systems</w:t>
      </w:r>
      <w:r>
        <w:rPr>
          <w:rFonts w:ascii="Times New Roman" w:eastAsia="Times New Roman" w:hAnsi="Times New Roman" w:cs="Times New Roman"/>
          <w:color w:val="000000"/>
          <w:sz w:val="28"/>
          <w:szCs w:val="28"/>
        </w:rPr>
        <w:t xml:space="preserve"> (such as the brain and the immune system) </w:t>
      </w:r>
      <w:r>
        <w:rPr>
          <w:rFonts w:ascii="Times New Roman" w:eastAsia="Times New Roman" w:hAnsi="Times New Roman" w:cs="Times New Roman"/>
          <w:color w:val="000000"/>
          <w:sz w:val="28"/>
          <w:szCs w:val="28"/>
        </w:rPr>
        <w:lastRenderedPageBreak/>
        <w:t xml:space="preserve">are interconnected; instead of being characterized by ranks or levels, they feature </w:t>
      </w:r>
      <w:r>
        <w:rPr>
          <w:rFonts w:ascii="Times New Roman" w:eastAsia="Times New Roman" w:hAnsi="Times New Roman" w:cs="Times New Roman"/>
          <w:i/>
          <w:color w:val="000000"/>
          <w:sz w:val="28"/>
          <w:szCs w:val="28"/>
        </w:rPr>
        <w:t>nodes</w:t>
      </w:r>
      <w:r>
        <w:rPr>
          <w:rFonts w:ascii="Times New Roman" w:eastAsia="Times New Roman" w:hAnsi="Times New Roman" w:cs="Times New Roman"/>
          <w:color w:val="000000"/>
          <w:sz w:val="28"/>
          <w:szCs w:val="28"/>
        </w:rPr>
        <w:t>,</w:t>
      </w:r>
      <w:r>
        <w:rPr>
          <w:rFonts w:ascii="Times New Roman" w:eastAsia="Times New Roman" w:hAnsi="Times New Roman" w:cs="Times New Roman"/>
          <w:i/>
          <w:color w:val="000000"/>
          <w:sz w:val="28"/>
          <w:szCs w:val="28"/>
        </w:rPr>
        <w:t xml:space="preserve"> links</w:t>
      </w:r>
      <w:r>
        <w:rPr>
          <w:rFonts w:ascii="Times New Roman" w:eastAsia="Times New Roman" w:hAnsi="Times New Roman" w:cs="Times New Roman"/>
          <w:color w:val="000000"/>
          <w:sz w:val="28"/>
          <w:szCs w:val="28"/>
        </w:rPr>
        <w:t xml:space="preserve">, and </w:t>
      </w:r>
      <w:r>
        <w:rPr>
          <w:rFonts w:ascii="Times New Roman" w:eastAsia="Times New Roman" w:hAnsi="Times New Roman" w:cs="Times New Roman"/>
          <w:i/>
          <w:color w:val="000000"/>
          <w:sz w:val="28"/>
          <w:szCs w:val="28"/>
        </w:rPr>
        <w:t>networks</w:t>
      </w:r>
      <w:r>
        <w:rPr>
          <w:rFonts w:ascii="Times New Roman" w:eastAsia="Times New Roman" w:hAnsi="Times New Roman" w:cs="Times New Roman"/>
          <w:color w:val="000000"/>
          <w:sz w:val="28"/>
          <w:szCs w:val="28"/>
        </w:rPr>
        <w:t>.</w:t>
      </w:r>
    </w:p>
    <w:p w14:paraId="0000000E" w14:textId="77777777" w:rsidR="005A0751" w:rsidRDefault="00000000">
      <w:pPr>
        <w:widowControl w:val="0"/>
        <w:spacing w:before="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Research shows that communities can organize without a central authority, as </w:t>
      </w:r>
      <w:hyperlink r:id="rId19">
        <w:r>
          <w:rPr>
            <w:rFonts w:ascii="Times New Roman" w:eastAsia="Times New Roman" w:hAnsi="Times New Roman" w:cs="Times New Roman"/>
            <w:color w:val="1155CC"/>
            <w:sz w:val="28"/>
            <w:szCs w:val="28"/>
            <w:u w:val="single"/>
          </w:rPr>
          <w:t>noted</w:t>
        </w:r>
      </w:hyperlink>
      <w:r>
        <w:rPr>
          <w:rFonts w:ascii="Times New Roman" w:eastAsia="Times New Roman" w:hAnsi="Times New Roman" w:cs="Times New Roman"/>
          <w:sz w:val="28"/>
          <w:szCs w:val="28"/>
        </w:rPr>
        <w:t xml:space="preserve"> by political economist </w:t>
      </w:r>
      <w:hyperlink r:id="rId20">
        <w:r>
          <w:rPr>
            <w:rFonts w:ascii="Times New Roman" w:eastAsia="Times New Roman" w:hAnsi="Times New Roman" w:cs="Times New Roman"/>
            <w:color w:val="1155CC"/>
            <w:sz w:val="28"/>
            <w:szCs w:val="28"/>
            <w:u w:val="single"/>
          </w:rPr>
          <w:t>Elinor Ostrom</w:t>
        </w:r>
      </w:hyperlink>
      <w:r>
        <w:rPr>
          <w:rFonts w:ascii="Times New Roman" w:eastAsia="Times New Roman" w:hAnsi="Times New Roman" w:cs="Times New Roman"/>
          <w:sz w:val="28"/>
          <w:szCs w:val="28"/>
          <w:vertAlign w:val="superscript"/>
        </w:rPr>
        <w:footnoteReference w:id="7"/>
      </w:r>
      <w:r>
        <w:rPr>
          <w:rFonts w:ascii="Times New Roman" w:eastAsia="Times New Roman" w:hAnsi="Times New Roman" w:cs="Times New Roman"/>
          <w:sz w:val="28"/>
          <w:szCs w:val="28"/>
        </w:rPr>
        <w:t xml:space="preserve"> and her colleagues. They identify “</w:t>
      </w:r>
      <w:hyperlink r:id="rId21">
        <w:r>
          <w:rPr>
            <w:rFonts w:ascii="Times New Roman" w:eastAsia="Times New Roman" w:hAnsi="Times New Roman" w:cs="Times New Roman"/>
            <w:color w:val="1155CC"/>
            <w:sz w:val="28"/>
            <w:szCs w:val="28"/>
            <w:u w:val="single"/>
          </w:rPr>
          <w:t>design principles</w:t>
        </w:r>
      </w:hyperlink>
      <w:r>
        <w:rPr>
          <w:rFonts w:ascii="Times New Roman" w:eastAsia="Times New Roman" w:hAnsi="Times New Roman" w:cs="Times New Roman"/>
          <w:sz w:val="28"/>
          <w:szCs w:val="28"/>
        </w:rPr>
        <w:t>” of stable common-pool resource management that include local knowledge, clear rules, effective communication, monitoring, sanctions, paths for conflict resolution, internal trust, and the recognition of self-determination by other political entities.</w:t>
      </w:r>
    </w:p>
    <w:p w14:paraId="0000000F" w14:textId="77777777" w:rsidR="005A0751" w:rsidRDefault="00000000">
      <w:pPr>
        <w:widowControl w:val="0"/>
        <w:spacing w:before="200"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A Paradigm Shift</w:t>
      </w:r>
    </w:p>
    <w:p w14:paraId="00000010" w14:textId="77777777" w:rsidR="005A0751" w:rsidRDefault="00000000">
      <w:pPr>
        <w:widowControl w:val="0"/>
        <w:spacing w:before="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In archaeology, the old paradigm is giving way, in part due to archaeologists’ realization that many of them have spent their careers digging sites full of evidence for collaborative management. A more balanced paradigm has begun to take its place, one that sees many sources of power and new implications for governance. This paradigm shift started several decades ago but found greater acceptance in the early 21st century. It is important that this dynamic moment and its implications be fully examined. In </w:t>
      </w:r>
      <w:hyperlink r:id="rId22">
        <w:r>
          <w:rPr>
            <w:rFonts w:ascii="Times New Roman" w:eastAsia="Times New Roman" w:hAnsi="Times New Roman" w:cs="Times New Roman"/>
            <w:i/>
            <w:color w:val="1155CC"/>
            <w:sz w:val="28"/>
            <w:szCs w:val="28"/>
            <w:u w:val="single"/>
          </w:rPr>
          <w:t>The Dawn of Everything: A New History of Humanity</w:t>
        </w:r>
      </w:hyperlink>
      <w:r>
        <w:rPr>
          <w:rFonts w:ascii="Times New Roman" w:eastAsia="Times New Roman" w:hAnsi="Times New Roman" w:cs="Times New Roman"/>
          <w:sz w:val="28"/>
          <w:szCs w:val="28"/>
        </w:rPr>
        <w:t xml:space="preserve">, anthropologist David Graeber and archaeologist David </w:t>
      </w:r>
      <w:proofErr w:type="spellStart"/>
      <w:r>
        <w:rPr>
          <w:rFonts w:ascii="Times New Roman" w:eastAsia="Times New Roman" w:hAnsi="Times New Roman" w:cs="Times New Roman"/>
          <w:sz w:val="28"/>
          <w:szCs w:val="28"/>
        </w:rPr>
        <w:t>Wengrow</w:t>
      </w:r>
      <w:proofErr w:type="spellEnd"/>
      <w:r>
        <w:rPr>
          <w:rFonts w:ascii="Times New Roman" w:eastAsia="Times New Roman" w:hAnsi="Times New Roman" w:cs="Times New Roman"/>
          <w:sz w:val="28"/>
          <w:szCs w:val="28"/>
          <w:vertAlign w:val="superscript"/>
        </w:rPr>
        <w:footnoteReference w:id="8"/>
      </w:r>
      <w:r>
        <w:rPr>
          <w:rFonts w:ascii="Times New Roman" w:eastAsia="Times New Roman" w:hAnsi="Times New Roman" w:cs="Times New Roman"/>
          <w:sz w:val="28"/>
          <w:szCs w:val="28"/>
        </w:rPr>
        <w:t xml:space="preserve"> began </w:t>
      </w:r>
      <w:hyperlink r:id="rId23">
        <w:r>
          <w:rPr>
            <w:rFonts w:ascii="Times New Roman" w:eastAsia="Times New Roman" w:hAnsi="Times New Roman" w:cs="Times New Roman"/>
            <w:color w:val="1155CC"/>
            <w:sz w:val="28"/>
            <w:szCs w:val="28"/>
            <w:u w:val="single"/>
          </w:rPr>
          <w:t>investigating</w:t>
        </w:r>
      </w:hyperlink>
      <w:r>
        <w:rPr>
          <w:rFonts w:ascii="Times New Roman" w:eastAsia="Times New Roman" w:hAnsi="Times New Roman" w:cs="Times New Roman"/>
          <w:sz w:val="28"/>
          <w:szCs w:val="28"/>
        </w:rPr>
        <w:t xml:space="preserve"> the past for overlooked evidence of this collaborative form of governance.</w:t>
      </w:r>
    </w:p>
    <w:p w14:paraId="00000011" w14:textId="77777777" w:rsidR="005A0751" w:rsidRDefault="00000000">
      <w:pPr>
        <w:widowControl w:val="0"/>
        <w:spacing w:before="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Philosopher </w:t>
      </w:r>
      <w:hyperlink r:id="rId24">
        <w:r>
          <w:rPr>
            <w:rFonts w:ascii="Times New Roman" w:eastAsia="Times New Roman" w:hAnsi="Times New Roman" w:cs="Times New Roman"/>
            <w:color w:val="1155CC"/>
            <w:sz w:val="28"/>
            <w:szCs w:val="28"/>
            <w:u w:val="single"/>
          </w:rPr>
          <w:t>Thomas Kuhn’s</w:t>
        </w:r>
      </w:hyperlink>
      <w:r>
        <w:rPr>
          <w:rFonts w:ascii="Times New Roman" w:eastAsia="Times New Roman" w:hAnsi="Times New Roman" w:cs="Times New Roman"/>
          <w:color w:val="1155CC"/>
          <w:sz w:val="28"/>
          <w:szCs w:val="28"/>
        </w:rPr>
        <w:t xml:space="preserve"> </w:t>
      </w:r>
      <w:hyperlink r:id="rId25">
        <w:r>
          <w:rPr>
            <w:rFonts w:ascii="Times New Roman" w:eastAsia="Times New Roman" w:hAnsi="Times New Roman" w:cs="Times New Roman"/>
            <w:i/>
            <w:color w:val="1155CC"/>
            <w:sz w:val="28"/>
            <w:szCs w:val="28"/>
            <w:u w:val="single"/>
          </w:rPr>
          <w:t>The Structure of Scientific Revolutions</w:t>
        </w:r>
      </w:hyperlink>
      <w:r>
        <w:rPr>
          <w:rFonts w:ascii="Times New Roman" w:eastAsia="Times New Roman" w:hAnsi="Times New Roman" w:cs="Times New Roman"/>
          <w:sz w:val="28"/>
          <w:szCs w:val="28"/>
          <w:vertAlign w:val="superscript"/>
        </w:rPr>
        <w:footnoteReference w:id="9"/>
      </w:r>
      <w:r>
        <w:rPr>
          <w:rFonts w:ascii="Times New Roman" w:eastAsia="Times New Roman" w:hAnsi="Times New Roman" w:cs="Times New Roman"/>
          <w:sz w:val="28"/>
          <w:szCs w:val="28"/>
        </w:rPr>
        <w:t xml:space="preserve"> defines </w:t>
      </w:r>
      <w:r>
        <w:rPr>
          <w:rFonts w:ascii="Times New Roman" w:eastAsia="Times New Roman" w:hAnsi="Times New Roman" w:cs="Times New Roman"/>
          <w:i/>
          <w:sz w:val="28"/>
          <w:szCs w:val="28"/>
        </w:rPr>
        <w:t>paradigms</w:t>
      </w:r>
      <w:r>
        <w:rPr>
          <w:rFonts w:ascii="Times New Roman" w:eastAsia="Times New Roman" w:hAnsi="Times New Roman" w:cs="Times New Roman"/>
          <w:sz w:val="28"/>
          <w:szCs w:val="28"/>
        </w:rPr>
        <w:t xml:space="preserve"> as universally recognized scientific frameworks that, for a time, provide model problems and solutions to a community of practitioners. Kuhn’s book introduced into common usage the term </w:t>
      </w:r>
      <w:r>
        <w:rPr>
          <w:rFonts w:ascii="Times New Roman" w:eastAsia="Times New Roman" w:hAnsi="Times New Roman" w:cs="Times New Roman"/>
          <w:i/>
          <w:sz w:val="28"/>
          <w:szCs w:val="28"/>
        </w:rPr>
        <w:t>paradigm shift</w:t>
      </w:r>
      <w:r>
        <w:rPr>
          <w:rFonts w:ascii="Times New Roman" w:eastAsia="Times New Roman" w:hAnsi="Times New Roman" w:cs="Times New Roman"/>
          <w:sz w:val="28"/>
          <w:szCs w:val="28"/>
        </w:rPr>
        <w:t>, meaning a fundamental change in a widely used model or perception.</w:t>
      </w:r>
    </w:p>
    <w:p w14:paraId="00000012" w14:textId="77777777" w:rsidR="005A0751" w:rsidRDefault="00000000">
      <w:pPr>
        <w:widowControl w:val="0"/>
        <w:spacing w:before="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Kuhn has offered generations of young scholars the thrilling prospect that their work could have the potential to revolutionize their chosen field by sparking a </w:t>
      </w:r>
      <w:r>
        <w:rPr>
          <w:rFonts w:ascii="Times New Roman" w:eastAsia="Times New Roman" w:hAnsi="Times New Roman" w:cs="Times New Roman"/>
          <w:i/>
          <w:sz w:val="28"/>
          <w:szCs w:val="28"/>
        </w:rPr>
        <w:t>scientific revolution</w:t>
      </w:r>
      <w:r>
        <w:rPr>
          <w:rFonts w:ascii="Times New Roman" w:eastAsia="Times New Roman" w:hAnsi="Times New Roman" w:cs="Times New Roman"/>
          <w:sz w:val="28"/>
          <w:szCs w:val="28"/>
        </w:rPr>
        <w:t>, which he describes as:</w:t>
      </w:r>
    </w:p>
    <w:p w14:paraId="00000013" w14:textId="77777777" w:rsidR="005A0751" w:rsidRDefault="00000000">
      <w:pPr>
        <w:widowControl w:val="0"/>
        <w:spacing w:before="200" w:line="276" w:lineRule="auto"/>
        <w:ind w:left="72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when… the profession [adopts] a new set of commitments, a new basis for the practice of science. The extraordinary episodes in which that shift of professional commitments occurs are the ones known… as </w:t>
      </w:r>
      <w:r>
        <w:rPr>
          <w:rFonts w:ascii="Times New Roman" w:eastAsia="Times New Roman" w:hAnsi="Times New Roman" w:cs="Times New Roman"/>
          <w:i/>
          <w:sz w:val="28"/>
          <w:szCs w:val="28"/>
        </w:rPr>
        <w:t>scientific revolutions</w:t>
      </w:r>
      <w:r>
        <w:rPr>
          <w:rFonts w:ascii="Times New Roman" w:eastAsia="Times New Roman" w:hAnsi="Times New Roman" w:cs="Times New Roman"/>
          <w:sz w:val="28"/>
          <w:szCs w:val="28"/>
        </w:rPr>
        <w:t>. They are the tradition-shattering complements to the tradition-bound activity of normal science.”</w:t>
      </w:r>
      <w:r>
        <w:rPr>
          <w:rFonts w:ascii="Times New Roman" w:eastAsia="Times New Roman" w:hAnsi="Times New Roman" w:cs="Times New Roman"/>
          <w:sz w:val="28"/>
          <w:szCs w:val="28"/>
          <w:vertAlign w:val="superscript"/>
        </w:rPr>
        <w:footnoteReference w:id="10"/>
      </w:r>
    </w:p>
    <w:p w14:paraId="00000014" w14:textId="77777777" w:rsidR="005A0751" w:rsidRDefault="00000000">
      <w:pPr>
        <w:widowControl w:val="0"/>
        <w:spacing w:before="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Kuhn reminds his would-be revolutionaries, though, that there are elements and dimensions of paradigmatic methods and theories, each of which must be retained, modified, or disassembled with due consideration. </w:t>
      </w:r>
      <w:proofErr w:type="gramStart"/>
      <w:r>
        <w:rPr>
          <w:rFonts w:ascii="Times New Roman" w:eastAsia="Times New Roman" w:hAnsi="Times New Roman" w:cs="Times New Roman"/>
          <w:sz w:val="28"/>
          <w:szCs w:val="28"/>
        </w:rPr>
        <w:t>So</w:t>
      </w:r>
      <w:proofErr w:type="gramEnd"/>
      <w:r>
        <w:rPr>
          <w:rFonts w:ascii="Times New Roman" w:eastAsia="Times New Roman" w:hAnsi="Times New Roman" w:cs="Times New Roman"/>
          <w:sz w:val="28"/>
          <w:szCs w:val="28"/>
        </w:rPr>
        <w:t xml:space="preserve"> we have a responsibility to hold </w:t>
      </w:r>
      <w:r>
        <w:rPr>
          <w:rFonts w:ascii="Times New Roman" w:eastAsia="Times New Roman" w:hAnsi="Times New Roman" w:cs="Times New Roman"/>
          <w:i/>
          <w:sz w:val="28"/>
          <w:szCs w:val="28"/>
        </w:rPr>
        <w:t>revolutions</w:t>
      </w:r>
      <w:r>
        <w:rPr>
          <w:rFonts w:ascii="Times New Roman" w:eastAsia="Times New Roman" w:hAnsi="Times New Roman" w:cs="Times New Roman"/>
          <w:sz w:val="28"/>
          <w:szCs w:val="28"/>
        </w:rPr>
        <w:t>—scientific or otherwise—in abeyance, and take the time to proceed carefully.</w:t>
      </w:r>
    </w:p>
    <w:p w14:paraId="00000015" w14:textId="77777777" w:rsidR="005A0751" w:rsidRDefault="00000000">
      <w:pPr>
        <w:widowControl w:val="0"/>
        <w:spacing w:before="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Accordingly, the enormous body of work that has focused on hierarchies of power need not be jettisoned. The uncovering of alternate paths to power marks the beginning of a more complete understanding of how societal governance is achieved and what can emerge from the examination across eras of political forms and their fluctuating utility in environmental, social, and other contexts.</w:t>
      </w:r>
    </w:p>
    <w:p w14:paraId="00000016" w14:textId="77777777" w:rsidR="005A0751" w:rsidRDefault="00000000">
      <w:pPr>
        <w:widowControl w:val="0"/>
        <w:spacing w:before="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social implications of the new paradigm could reverse understandings that have prevailed for millennia. One example is the global shift in the understanding of sex and gender that began in the 20th century. Despite several early pioneers, the climate for professional female archaeologists was chilly through the 1980s. As women’s presence in the field was accepted, new ways of seeing sex and gender in the archaeological record </w:t>
      </w:r>
      <w:hyperlink r:id="rId26">
        <w:r>
          <w:rPr>
            <w:rFonts w:ascii="Times New Roman" w:eastAsia="Times New Roman" w:hAnsi="Times New Roman" w:cs="Times New Roman"/>
            <w:color w:val="1155CC"/>
            <w:sz w:val="28"/>
            <w:szCs w:val="28"/>
            <w:u w:val="single"/>
          </w:rPr>
          <w:t>emerged</w:t>
        </w:r>
      </w:hyperlink>
      <w:r>
        <w:rPr>
          <w:rFonts w:ascii="Times New Roman" w:eastAsia="Times New Roman" w:hAnsi="Times New Roman" w:cs="Times New Roman"/>
          <w:sz w:val="28"/>
          <w:szCs w:val="28"/>
          <w:vertAlign w:val="superscript"/>
        </w:rPr>
        <w:footnoteReference w:id="11"/>
      </w:r>
      <w:r>
        <w:rPr>
          <w:rFonts w:ascii="Times New Roman" w:eastAsia="Times New Roman" w:hAnsi="Times New Roman" w:cs="Times New Roman"/>
          <w:sz w:val="28"/>
          <w:szCs w:val="28"/>
        </w:rPr>
        <w:t xml:space="preserve"> and evidence was reevaluated. Advances in methods, especially in genomics, have strengthened these new </w:t>
      </w:r>
      <w:hyperlink r:id="rId27">
        <w:r>
          <w:rPr>
            <w:rFonts w:ascii="Times New Roman" w:eastAsia="Times New Roman" w:hAnsi="Times New Roman" w:cs="Times New Roman"/>
            <w:color w:val="1155CC"/>
            <w:sz w:val="28"/>
            <w:szCs w:val="28"/>
            <w:u w:val="single"/>
          </w:rPr>
          <w:t>interpretations</w:t>
        </w:r>
      </w:hyperlink>
      <w:r>
        <w:rPr>
          <w:rFonts w:ascii="Times New Roman" w:eastAsia="Times New Roman" w:hAnsi="Times New Roman" w:cs="Times New Roman"/>
          <w:sz w:val="28"/>
          <w:szCs w:val="28"/>
        </w:rPr>
        <w:t>.</w:t>
      </w:r>
      <w:r>
        <w:rPr>
          <w:rFonts w:ascii="Times New Roman" w:eastAsia="Times New Roman" w:hAnsi="Times New Roman" w:cs="Times New Roman"/>
          <w:sz w:val="28"/>
          <w:szCs w:val="28"/>
          <w:vertAlign w:val="superscript"/>
        </w:rPr>
        <w:footnoteReference w:id="12"/>
      </w:r>
    </w:p>
    <w:p w14:paraId="00000017" w14:textId="77777777" w:rsidR="005A0751" w:rsidRDefault="00000000">
      <w:pPr>
        <w:widowControl w:val="0"/>
        <w:spacing w:before="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Another example is the—perhaps overstated—role of aggression in human history. The 2021 book </w:t>
      </w:r>
      <w:hyperlink r:id="rId28">
        <w:r>
          <w:rPr>
            <w:rFonts w:ascii="Times New Roman" w:eastAsia="Times New Roman" w:hAnsi="Times New Roman" w:cs="Times New Roman"/>
            <w:i/>
            <w:color w:val="1155CC"/>
            <w:sz w:val="28"/>
            <w:szCs w:val="28"/>
            <w:u w:val="single"/>
          </w:rPr>
          <w:t>Power From Below in Premodern Societies</w:t>
        </w:r>
      </w:hyperlink>
      <w:r>
        <w:rPr>
          <w:rFonts w:ascii="Times New Roman" w:eastAsia="Times New Roman" w:hAnsi="Times New Roman" w:cs="Times New Roman"/>
          <w:sz w:val="28"/>
          <w:szCs w:val="28"/>
          <w:vertAlign w:val="superscript"/>
        </w:rPr>
        <w:footnoteReference w:id="13"/>
      </w:r>
      <w:r>
        <w:rPr>
          <w:rFonts w:ascii="Times New Roman" w:eastAsia="Times New Roman" w:hAnsi="Times New Roman" w:cs="Times New Roman"/>
          <w:sz w:val="28"/>
          <w:szCs w:val="28"/>
        </w:rPr>
        <w:t xml:space="preserve"> reports archaeological findings that question aggression as a central driver of human </w:t>
      </w:r>
      <w:r>
        <w:rPr>
          <w:rFonts w:ascii="Times New Roman" w:eastAsia="Times New Roman" w:hAnsi="Times New Roman" w:cs="Times New Roman"/>
          <w:sz w:val="28"/>
          <w:szCs w:val="28"/>
        </w:rPr>
        <w:lastRenderedPageBreak/>
        <w:t>societies. The 18 authors of the book argue that individual power requires social acquiescence and the recognition of roles. Their findings are that collectively organized centers enjoyed somewhat longer apogees than their autocratic neighbors, which suggests that compliance built on trust makes strong communities.</w:t>
      </w:r>
    </w:p>
    <w:p w14:paraId="00000018" w14:textId="77777777" w:rsidR="005A0751" w:rsidRDefault="00000000">
      <w:pPr>
        <w:widowControl w:val="0"/>
        <w:spacing w:before="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Shifting power relations over time can be tracked in several ways; indicators in past </w:t>
      </w:r>
      <w:proofErr w:type="gramStart"/>
      <w:r>
        <w:rPr>
          <w:rFonts w:ascii="Times New Roman" w:eastAsia="Times New Roman" w:hAnsi="Times New Roman" w:cs="Times New Roman"/>
          <w:sz w:val="28"/>
          <w:szCs w:val="28"/>
        </w:rPr>
        <w:t>landscapes—</w:t>
      </w:r>
      <w:proofErr w:type="gramEnd"/>
      <w:r>
        <w:rPr>
          <w:rFonts w:ascii="Times New Roman" w:eastAsia="Times New Roman" w:hAnsi="Times New Roman" w:cs="Times New Roman"/>
          <w:sz w:val="28"/>
          <w:szCs w:val="28"/>
        </w:rPr>
        <w:t xml:space="preserve">food storage units, enclosures, defensive structures, and the treatment of the dead—offer a more robust explanation for the diverse motivations of monumental construction. The book’s editors T.L. Thurston and Manuel Fernández-Götz question earlier interpretations of certain peoples and eras as </w:t>
      </w:r>
      <w:proofErr w:type="gramStart"/>
      <w:r>
        <w:rPr>
          <w:rFonts w:ascii="Times New Roman" w:eastAsia="Times New Roman" w:hAnsi="Times New Roman" w:cs="Times New Roman"/>
          <w:sz w:val="28"/>
          <w:szCs w:val="28"/>
        </w:rPr>
        <w:t>bellicose, and</w:t>
      </w:r>
      <w:proofErr w:type="gramEnd"/>
      <w:r>
        <w:rPr>
          <w:rFonts w:ascii="Times New Roman" w:eastAsia="Times New Roman" w:hAnsi="Times New Roman" w:cs="Times New Roman"/>
          <w:sz w:val="28"/>
          <w:szCs w:val="28"/>
        </w:rPr>
        <w:t xml:space="preserve"> demonstrate that new evidence points instead to community-based defense. This offers a new appreciation of the importance of trust in social and political relations, a finding that resonates in today’s political landscape.</w:t>
      </w:r>
    </w:p>
    <w:p w14:paraId="00000019" w14:textId="77777777" w:rsidR="005A0751" w:rsidRDefault="00000000">
      <w:pPr>
        <w:widowControl w:val="0"/>
        <w:spacing w:before="200"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Future Steps</w:t>
      </w:r>
    </w:p>
    <w:p w14:paraId="0000001A" w14:textId="77777777" w:rsidR="005A0751" w:rsidRDefault="00000000">
      <w:pPr>
        <w:widowControl w:val="0"/>
        <w:spacing w:before="20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Moving forward, it’s important to learn from both ranked and networked systems and recognize diverse forms of organization. By balancing different social, geographical, and temporal factors, we can develop a clearer understanding of human organization and expand our visions of the human future.</w:t>
      </w:r>
    </w:p>
    <w:sectPr w:rsidR="005A075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52C878" w14:textId="77777777" w:rsidR="008F54BD" w:rsidRDefault="008F54BD">
      <w:pPr>
        <w:spacing w:after="0" w:line="240" w:lineRule="auto"/>
      </w:pPr>
      <w:r>
        <w:separator/>
      </w:r>
    </w:p>
  </w:endnote>
  <w:endnote w:type="continuationSeparator" w:id="0">
    <w:p w14:paraId="38E4530E" w14:textId="77777777" w:rsidR="008F54BD" w:rsidRDefault="008F54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87F37E15-870F-48B5-9CDF-17F8D800D24C}"/>
    <w:embedItalic r:id="rId2" w:fontKey="{00C8869B-04D1-4338-886E-D21319E44DAB}"/>
  </w:font>
  <w:font w:name="Play">
    <w:charset w:val="00"/>
    <w:family w:val="auto"/>
    <w:pitch w:val="default"/>
    <w:embedRegular r:id="rId3" w:fontKey="{7C0771E9-4BAE-4F0F-8B9E-35A037AD5973}"/>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embedRegular r:id="rId4" w:fontKey="{5FB8AC33-4EB8-4E23-AFFF-04FD5DFD6A2B}"/>
  </w:font>
  <w:font w:name="Calibri">
    <w:panose1 w:val="020F0502020204030204"/>
    <w:charset w:val="00"/>
    <w:family w:val="swiss"/>
    <w:pitch w:val="variable"/>
    <w:sig w:usb0="E4002EFF" w:usb1="C200247B" w:usb2="00000009" w:usb3="00000000" w:csb0="000001FF" w:csb1="00000000"/>
    <w:embedRegular r:id="rId5" w:fontKey="{78C19511-4CFE-4DCF-A2E4-7DCB010B6E00}"/>
  </w:font>
  <w:font w:name="Cambria">
    <w:panose1 w:val="02040503050406030204"/>
    <w:charset w:val="00"/>
    <w:family w:val="roman"/>
    <w:pitch w:val="variable"/>
    <w:sig w:usb0="E00006FF" w:usb1="420024FF" w:usb2="02000000" w:usb3="00000000" w:csb0="0000019F" w:csb1="00000000"/>
    <w:embedRegular r:id="rId6" w:fontKey="{BA576B02-E2BE-4D04-B496-C2B9756EF32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F9A26B" w14:textId="77777777" w:rsidR="008F54BD" w:rsidRDefault="008F54BD">
      <w:pPr>
        <w:spacing w:after="0" w:line="240" w:lineRule="auto"/>
      </w:pPr>
      <w:r>
        <w:separator/>
      </w:r>
    </w:p>
  </w:footnote>
  <w:footnote w:type="continuationSeparator" w:id="0">
    <w:p w14:paraId="01FDC420" w14:textId="77777777" w:rsidR="008F54BD" w:rsidRDefault="008F54BD">
      <w:pPr>
        <w:spacing w:after="0" w:line="240" w:lineRule="auto"/>
      </w:pPr>
      <w:r>
        <w:continuationSeparator/>
      </w:r>
    </w:p>
  </w:footnote>
  <w:footnote w:id="1">
    <w:p w14:paraId="0000001B" w14:textId="77777777" w:rsidR="005A0751"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sz w:val="20"/>
          <w:szCs w:val="20"/>
        </w:rPr>
        <w:t xml:space="preserve"> </w:t>
      </w:r>
      <w:r>
        <w:rPr>
          <w:rFonts w:ascii="Times New Roman" w:eastAsia="Times New Roman" w:hAnsi="Times New Roman" w:cs="Times New Roman"/>
          <w:color w:val="000000"/>
          <w:sz w:val="20"/>
          <w:szCs w:val="20"/>
        </w:rPr>
        <w:t xml:space="preserve">Hofstadter, </w:t>
      </w:r>
      <w:r>
        <w:rPr>
          <w:rFonts w:ascii="Times New Roman" w:eastAsia="Times New Roman" w:hAnsi="Times New Roman" w:cs="Times New Roman"/>
          <w:sz w:val="20"/>
          <w:szCs w:val="20"/>
        </w:rPr>
        <w:t xml:space="preserve">Douglas </w:t>
      </w:r>
      <w:r>
        <w:rPr>
          <w:rFonts w:ascii="Times New Roman" w:eastAsia="Times New Roman" w:hAnsi="Times New Roman" w:cs="Times New Roman"/>
          <w:color w:val="000000"/>
          <w:sz w:val="20"/>
          <w:szCs w:val="20"/>
        </w:rPr>
        <w:t xml:space="preserve">(1979). </w:t>
      </w:r>
      <w:proofErr w:type="spellStart"/>
      <w:r>
        <w:rPr>
          <w:rFonts w:ascii="Times New Roman" w:eastAsia="Times New Roman" w:hAnsi="Times New Roman" w:cs="Times New Roman"/>
          <w:i/>
          <w:color w:val="000000"/>
          <w:sz w:val="20"/>
          <w:szCs w:val="20"/>
        </w:rPr>
        <w:t>G</w:t>
      </w:r>
      <w:r>
        <w:rPr>
          <w:rFonts w:ascii="Times New Roman" w:eastAsia="Times New Roman" w:hAnsi="Times New Roman" w:cs="Times New Roman"/>
          <w:i/>
          <w:sz w:val="20"/>
          <w:szCs w:val="20"/>
        </w:rPr>
        <w:t>ö</w:t>
      </w:r>
      <w:r>
        <w:rPr>
          <w:rFonts w:ascii="Times New Roman" w:eastAsia="Times New Roman" w:hAnsi="Times New Roman" w:cs="Times New Roman"/>
          <w:i/>
          <w:color w:val="000000"/>
          <w:sz w:val="20"/>
          <w:szCs w:val="20"/>
        </w:rPr>
        <w:t>del</w:t>
      </w:r>
      <w:proofErr w:type="spellEnd"/>
      <w:r>
        <w:rPr>
          <w:rFonts w:ascii="Times New Roman" w:eastAsia="Times New Roman" w:hAnsi="Times New Roman" w:cs="Times New Roman"/>
          <w:i/>
          <w:color w:val="000000"/>
          <w:sz w:val="20"/>
          <w:szCs w:val="20"/>
        </w:rPr>
        <w:t>, Escher, Bach: An Eternal Golden Braid</w:t>
      </w:r>
      <w:r>
        <w:rPr>
          <w:rFonts w:ascii="Times New Roman" w:eastAsia="Times New Roman" w:hAnsi="Times New Roman" w:cs="Times New Roman"/>
          <w:color w:val="000000"/>
          <w:sz w:val="20"/>
          <w:szCs w:val="20"/>
        </w:rPr>
        <w:t>. New York, NY: Basic Books. p. 134.</w:t>
      </w:r>
    </w:p>
  </w:footnote>
  <w:footnote w:id="2">
    <w:p w14:paraId="0000001C" w14:textId="77777777" w:rsidR="005A0751"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sz w:val="20"/>
          <w:szCs w:val="20"/>
        </w:rPr>
        <w:t xml:space="preserve"> </w:t>
      </w:r>
      <w:r>
        <w:rPr>
          <w:rFonts w:ascii="Times New Roman" w:eastAsia="Times New Roman" w:hAnsi="Times New Roman" w:cs="Times New Roman"/>
          <w:color w:val="000000"/>
          <w:sz w:val="20"/>
          <w:szCs w:val="20"/>
        </w:rPr>
        <w:t xml:space="preserve">Stark, </w:t>
      </w:r>
      <w:r>
        <w:rPr>
          <w:rFonts w:ascii="Times New Roman" w:eastAsia="Times New Roman" w:hAnsi="Times New Roman" w:cs="Times New Roman"/>
          <w:sz w:val="20"/>
          <w:szCs w:val="20"/>
        </w:rPr>
        <w:t>David</w:t>
      </w:r>
      <w:r>
        <w:rPr>
          <w:rFonts w:ascii="Times New Roman" w:eastAsia="Times New Roman" w:hAnsi="Times New Roman" w:cs="Times New Roman"/>
          <w:color w:val="000000"/>
          <w:sz w:val="20"/>
          <w:szCs w:val="20"/>
        </w:rPr>
        <w:t xml:space="preserve"> (2001). </w:t>
      </w:r>
      <w:r>
        <w:rPr>
          <w:rFonts w:ascii="Times New Roman" w:eastAsia="Times New Roman" w:hAnsi="Times New Roman" w:cs="Times New Roman"/>
          <w:sz w:val="20"/>
          <w:szCs w:val="20"/>
        </w:rPr>
        <w:t>“</w:t>
      </w:r>
      <w:r>
        <w:rPr>
          <w:rFonts w:ascii="Times New Roman" w:eastAsia="Times New Roman" w:hAnsi="Times New Roman" w:cs="Times New Roman"/>
          <w:color w:val="000000"/>
          <w:sz w:val="20"/>
          <w:szCs w:val="20"/>
        </w:rPr>
        <w:t xml:space="preserve">Ambiguous Assets for Uncertain Environments: </w:t>
      </w:r>
      <w:proofErr w:type="spellStart"/>
      <w:r>
        <w:rPr>
          <w:rFonts w:ascii="Times New Roman" w:eastAsia="Times New Roman" w:hAnsi="Times New Roman" w:cs="Times New Roman"/>
          <w:color w:val="000000"/>
          <w:sz w:val="20"/>
          <w:szCs w:val="20"/>
        </w:rPr>
        <w:t>Heterarchy</w:t>
      </w:r>
      <w:proofErr w:type="spellEnd"/>
      <w:r>
        <w:rPr>
          <w:rFonts w:ascii="Times New Roman" w:eastAsia="Times New Roman" w:hAnsi="Times New Roman" w:cs="Times New Roman"/>
          <w:color w:val="000000"/>
          <w:sz w:val="20"/>
          <w:szCs w:val="20"/>
        </w:rPr>
        <w:t xml:space="preserve"> in </w:t>
      </w:r>
      <w:proofErr w:type="spellStart"/>
      <w:r>
        <w:rPr>
          <w:rFonts w:ascii="Times New Roman" w:eastAsia="Times New Roman" w:hAnsi="Times New Roman" w:cs="Times New Roman"/>
          <w:color w:val="000000"/>
          <w:sz w:val="20"/>
          <w:szCs w:val="20"/>
        </w:rPr>
        <w:t>Postsocialist</w:t>
      </w:r>
      <w:proofErr w:type="spellEnd"/>
      <w:r>
        <w:rPr>
          <w:rFonts w:ascii="Times New Roman" w:eastAsia="Times New Roman" w:hAnsi="Times New Roman" w:cs="Times New Roman"/>
          <w:color w:val="000000"/>
          <w:sz w:val="20"/>
          <w:szCs w:val="20"/>
        </w:rPr>
        <w:t xml:space="preserve"> Firms.” In</w:t>
      </w:r>
      <w:r>
        <w:rPr>
          <w:rFonts w:ascii="Times New Roman" w:eastAsia="Times New Roman" w:hAnsi="Times New Roman" w:cs="Times New Roman"/>
          <w:sz w:val="20"/>
          <w:szCs w:val="20"/>
        </w:rPr>
        <w:t xml:space="preserve"> </w:t>
      </w:r>
      <w:r>
        <w:rPr>
          <w:rFonts w:ascii="Times New Roman" w:eastAsia="Times New Roman" w:hAnsi="Times New Roman" w:cs="Times New Roman"/>
          <w:i/>
          <w:color w:val="000000"/>
          <w:sz w:val="20"/>
          <w:szCs w:val="20"/>
        </w:rPr>
        <w:t>The Twenty-First-Century Firm: Changing Economic Organization in International Perspective</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sz w:val="20"/>
          <w:szCs w:val="20"/>
        </w:rPr>
        <w:t xml:space="preserve">Paul DiMaggio (ed.) </w:t>
      </w:r>
      <w:r>
        <w:rPr>
          <w:rFonts w:ascii="Times New Roman" w:eastAsia="Times New Roman" w:hAnsi="Times New Roman" w:cs="Times New Roman"/>
          <w:color w:val="000000"/>
          <w:sz w:val="20"/>
          <w:szCs w:val="20"/>
        </w:rPr>
        <w:t>(pp. 69–104). Princeton, NJ: Princeton University Press.</w:t>
      </w:r>
    </w:p>
    <w:p w14:paraId="0000001D" w14:textId="77777777" w:rsidR="005A0751" w:rsidRDefault="00000000">
      <w:pPr>
        <w:pBdr>
          <w:top w:val="nil"/>
          <w:left w:val="nil"/>
          <w:bottom w:val="nil"/>
          <w:right w:val="nil"/>
          <w:between w:val="nil"/>
        </w:pBdr>
        <w:spacing w:after="0" w:line="240" w:lineRule="auto"/>
        <w:rPr>
          <w:color w:val="000000"/>
          <w:sz w:val="20"/>
          <w:szCs w:val="20"/>
        </w:rPr>
      </w:pPr>
      <w:r>
        <w:rPr>
          <w:rFonts w:ascii="Times New Roman" w:eastAsia="Times New Roman" w:hAnsi="Times New Roman" w:cs="Times New Roman"/>
          <w:color w:val="000000"/>
          <w:sz w:val="20"/>
          <w:szCs w:val="20"/>
        </w:rPr>
        <w:t xml:space="preserve">Stark, </w:t>
      </w:r>
      <w:r>
        <w:rPr>
          <w:rFonts w:ascii="Times New Roman" w:eastAsia="Times New Roman" w:hAnsi="Times New Roman" w:cs="Times New Roman"/>
          <w:sz w:val="20"/>
          <w:szCs w:val="20"/>
        </w:rPr>
        <w:t>David</w:t>
      </w:r>
      <w:r>
        <w:rPr>
          <w:rFonts w:ascii="Times New Roman" w:eastAsia="Times New Roman" w:hAnsi="Times New Roman" w:cs="Times New Roman"/>
          <w:color w:val="000000"/>
          <w:sz w:val="20"/>
          <w:szCs w:val="20"/>
        </w:rPr>
        <w:t xml:space="preserve"> (2009). </w:t>
      </w:r>
      <w:r>
        <w:rPr>
          <w:rFonts w:ascii="Times New Roman" w:eastAsia="Times New Roman" w:hAnsi="Times New Roman" w:cs="Times New Roman"/>
          <w:i/>
          <w:color w:val="000000"/>
          <w:sz w:val="20"/>
          <w:szCs w:val="20"/>
        </w:rPr>
        <w:t>The Sense of Dissonance: Accounts of Worth in Economic Life</w:t>
      </w:r>
      <w:r>
        <w:rPr>
          <w:rFonts w:ascii="Times New Roman" w:eastAsia="Times New Roman" w:hAnsi="Times New Roman" w:cs="Times New Roman"/>
          <w:color w:val="000000"/>
          <w:sz w:val="20"/>
          <w:szCs w:val="20"/>
        </w:rPr>
        <w:t>. Princeton, NJ: Princeton University Press.</w:t>
      </w:r>
    </w:p>
  </w:footnote>
  <w:footnote w:id="3">
    <w:p w14:paraId="0000001E" w14:textId="77777777" w:rsidR="005A0751" w:rsidRDefault="00000000">
      <w:pPr>
        <w:pBdr>
          <w:top w:val="nil"/>
          <w:left w:val="nil"/>
          <w:bottom w:val="nil"/>
          <w:right w:val="nil"/>
          <w:between w:val="nil"/>
        </w:pBdr>
        <w:spacing w:after="0" w:line="240" w:lineRule="auto"/>
        <w:rPr>
          <w:color w:val="000000"/>
          <w:sz w:val="20"/>
          <w:szCs w:val="20"/>
        </w:rPr>
      </w:pPr>
      <w:r>
        <w:rPr>
          <w:vertAlign w:val="superscript"/>
        </w:rPr>
        <w:footnoteRef/>
      </w:r>
      <w:r>
        <w:rPr>
          <w:rFonts w:ascii="Times New Roman" w:eastAsia="Times New Roman" w:hAnsi="Times New Roman" w:cs="Times New Roman"/>
          <w:sz w:val="20"/>
          <w:szCs w:val="20"/>
        </w:rPr>
        <w:t xml:space="preserve"> Kontopoulos</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sz w:val="20"/>
          <w:szCs w:val="20"/>
        </w:rPr>
        <w:t>Kyriakos</w:t>
      </w:r>
      <w:r>
        <w:rPr>
          <w:rFonts w:ascii="Times New Roman" w:eastAsia="Times New Roman" w:hAnsi="Times New Roman" w:cs="Times New Roman"/>
          <w:color w:val="000000"/>
          <w:sz w:val="20"/>
          <w:szCs w:val="20"/>
        </w:rPr>
        <w:t xml:space="preserve"> (1993). </w:t>
      </w:r>
      <w:r>
        <w:rPr>
          <w:rFonts w:ascii="Times New Roman" w:eastAsia="Times New Roman" w:hAnsi="Times New Roman" w:cs="Times New Roman"/>
          <w:i/>
          <w:color w:val="000000"/>
          <w:sz w:val="20"/>
          <w:szCs w:val="20"/>
        </w:rPr>
        <w:t>The Logics of Social Structure</w:t>
      </w:r>
      <w:r>
        <w:rPr>
          <w:rFonts w:ascii="Times New Roman" w:eastAsia="Times New Roman" w:hAnsi="Times New Roman" w:cs="Times New Roman"/>
          <w:color w:val="000000"/>
          <w:sz w:val="20"/>
          <w:szCs w:val="20"/>
        </w:rPr>
        <w:t xml:space="preserve">. New York, NY: Cambridge University Press. </w:t>
      </w:r>
      <w:r>
        <w:rPr>
          <w:rFonts w:ascii="Times" w:eastAsia="Times" w:hAnsi="Times" w:cs="Times"/>
          <w:color w:val="000000"/>
          <w:sz w:val="20"/>
          <w:szCs w:val="20"/>
        </w:rPr>
        <w:t>p. 381.</w:t>
      </w:r>
    </w:p>
  </w:footnote>
  <w:footnote w:id="4">
    <w:p w14:paraId="0000001F" w14:textId="77777777" w:rsidR="005A0751" w:rsidRDefault="00000000">
      <w:pPr>
        <w:pBdr>
          <w:top w:val="nil"/>
          <w:left w:val="nil"/>
          <w:bottom w:val="nil"/>
          <w:right w:val="nil"/>
          <w:between w:val="nil"/>
        </w:pBdr>
        <w:spacing w:after="0" w:line="240" w:lineRule="auto"/>
        <w:rPr>
          <w:color w:val="000000"/>
          <w:sz w:val="20"/>
          <w:szCs w:val="20"/>
        </w:rPr>
      </w:pPr>
      <w:r>
        <w:rPr>
          <w:vertAlign w:val="superscript"/>
        </w:rPr>
        <w:footnoteRef/>
      </w:r>
      <w:r>
        <w:rPr>
          <w:sz w:val="20"/>
          <w:szCs w:val="20"/>
        </w:rPr>
        <w:t xml:space="preserve"> </w:t>
      </w:r>
      <w:r>
        <w:rPr>
          <w:rFonts w:ascii="Times New Roman" w:eastAsia="Times New Roman" w:hAnsi="Times New Roman" w:cs="Times New Roman"/>
          <w:color w:val="000000"/>
          <w:sz w:val="20"/>
          <w:szCs w:val="20"/>
        </w:rPr>
        <w:t xml:space="preserve">Crumley, </w:t>
      </w:r>
      <w:r>
        <w:rPr>
          <w:rFonts w:ascii="Times New Roman" w:eastAsia="Times New Roman" w:hAnsi="Times New Roman" w:cs="Times New Roman"/>
          <w:sz w:val="20"/>
          <w:szCs w:val="20"/>
        </w:rPr>
        <w:t>Carole L.</w:t>
      </w:r>
      <w:r>
        <w:rPr>
          <w:rFonts w:ascii="Times New Roman" w:eastAsia="Times New Roman" w:hAnsi="Times New Roman" w:cs="Times New Roman"/>
          <w:color w:val="000000"/>
          <w:sz w:val="20"/>
          <w:szCs w:val="20"/>
        </w:rPr>
        <w:t xml:space="preserve"> (1979). “Three Locational Models: An Epistemological Assessment for Anthropology and Archaeology.” In </w:t>
      </w:r>
      <w:r>
        <w:rPr>
          <w:rFonts w:ascii="Times New Roman" w:eastAsia="Times New Roman" w:hAnsi="Times New Roman" w:cs="Times New Roman"/>
          <w:i/>
          <w:color w:val="000000"/>
          <w:sz w:val="20"/>
          <w:szCs w:val="20"/>
        </w:rPr>
        <w:t>Advances in Archaeological Method and Theory</w:t>
      </w:r>
      <w:r>
        <w:rPr>
          <w:rFonts w:ascii="Times New Roman" w:eastAsia="Times New Roman" w:hAnsi="Times New Roman" w:cs="Times New Roman"/>
          <w:color w:val="000000"/>
          <w:sz w:val="20"/>
          <w:szCs w:val="20"/>
        </w:rPr>
        <w:t>, volu</w:t>
      </w:r>
      <w:r>
        <w:rPr>
          <w:rFonts w:ascii="Times New Roman" w:eastAsia="Times New Roman" w:hAnsi="Times New Roman" w:cs="Times New Roman"/>
          <w:sz w:val="20"/>
          <w:szCs w:val="20"/>
        </w:rPr>
        <w:t xml:space="preserve">me 2, Schiffer, M.B. (ed.) </w:t>
      </w:r>
      <w:r>
        <w:rPr>
          <w:rFonts w:ascii="Times New Roman" w:eastAsia="Times New Roman" w:hAnsi="Times New Roman" w:cs="Times New Roman"/>
          <w:color w:val="000000"/>
          <w:sz w:val="20"/>
          <w:szCs w:val="20"/>
        </w:rPr>
        <w:t>(pp. 141–173). New York, NY: Academic Press.</w:t>
      </w:r>
    </w:p>
  </w:footnote>
  <w:footnote w:id="5">
    <w:p w14:paraId="00000020" w14:textId="77777777" w:rsidR="005A0751" w:rsidRDefault="00000000">
      <w:pPr>
        <w:widowControl w:val="0"/>
        <w:tabs>
          <w:tab w:val="left" w:pos="0"/>
        </w:tabs>
        <w:spacing w:after="0"/>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Crumley, Carole L. (2005). “Remember How to Organize: </w:t>
      </w:r>
      <w:proofErr w:type="spellStart"/>
      <w:r>
        <w:rPr>
          <w:rFonts w:ascii="Times New Roman" w:eastAsia="Times New Roman" w:hAnsi="Times New Roman" w:cs="Times New Roman"/>
          <w:sz w:val="20"/>
          <w:szCs w:val="20"/>
        </w:rPr>
        <w:t>Heterarchy</w:t>
      </w:r>
      <w:proofErr w:type="spellEnd"/>
      <w:r>
        <w:rPr>
          <w:rFonts w:ascii="Times New Roman" w:eastAsia="Times New Roman" w:hAnsi="Times New Roman" w:cs="Times New Roman"/>
          <w:sz w:val="20"/>
          <w:szCs w:val="20"/>
        </w:rPr>
        <w:t xml:space="preserve"> Across Disciplines.” In </w:t>
      </w:r>
      <w:r>
        <w:rPr>
          <w:rFonts w:ascii="Times New Roman" w:eastAsia="Times New Roman" w:hAnsi="Times New Roman" w:cs="Times New Roman"/>
          <w:i/>
          <w:sz w:val="20"/>
          <w:szCs w:val="20"/>
        </w:rPr>
        <w:t>Nonlinear Models for Archaeology and Anthropology</w:t>
      </w:r>
      <w:r>
        <w:rPr>
          <w:rFonts w:ascii="Times New Roman" w:eastAsia="Times New Roman" w:hAnsi="Times New Roman" w:cs="Times New Roman"/>
          <w:sz w:val="20"/>
          <w:szCs w:val="20"/>
        </w:rPr>
        <w:t>. Beekman, Christopher S., and Baden, William S. (eds.) (pp. 35–50). Aldershot (Hampshire), UK: Ashgate Press.</w:t>
      </w:r>
    </w:p>
    <w:p w14:paraId="00000021" w14:textId="77777777" w:rsidR="005A0751" w:rsidRDefault="00000000">
      <w:pPr>
        <w:widowControl w:val="0"/>
        <w:tabs>
          <w:tab w:val="left" w:pos="0"/>
        </w:tabs>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Crumley, Carole L. (2007). “</w:t>
      </w:r>
      <w:proofErr w:type="spellStart"/>
      <w:r>
        <w:rPr>
          <w:rFonts w:ascii="Times New Roman" w:eastAsia="Times New Roman" w:hAnsi="Times New Roman" w:cs="Times New Roman"/>
          <w:sz w:val="20"/>
          <w:szCs w:val="20"/>
        </w:rPr>
        <w:t>Heterarchy</w:t>
      </w:r>
      <w:proofErr w:type="spellEnd"/>
      <w:r>
        <w:rPr>
          <w:rFonts w:ascii="Times New Roman" w:eastAsia="Times New Roman" w:hAnsi="Times New Roman" w:cs="Times New Roman"/>
          <w:sz w:val="20"/>
          <w:szCs w:val="20"/>
        </w:rPr>
        <w:t xml:space="preserve">.” In </w:t>
      </w:r>
      <w:r>
        <w:rPr>
          <w:rFonts w:ascii="Times New Roman" w:eastAsia="Times New Roman" w:hAnsi="Times New Roman" w:cs="Times New Roman"/>
          <w:i/>
          <w:sz w:val="20"/>
          <w:szCs w:val="20"/>
        </w:rPr>
        <w:t>International Encyclopedia of the Social Sciences</w:t>
      </w:r>
      <w:r>
        <w:rPr>
          <w:rFonts w:ascii="Times New Roman" w:eastAsia="Times New Roman" w:hAnsi="Times New Roman" w:cs="Times New Roman"/>
          <w:sz w:val="20"/>
          <w:szCs w:val="20"/>
        </w:rPr>
        <w:t>. Second edition, volume 3 (pp. 468–469). Darity, William A., editor-in-chief. Detroit: Macmillan Reference USA.</w:t>
      </w:r>
    </w:p>
    <w:p w14:paraId="00000022" w14:textId="77777777" w:rsidR="005A0751" w:rsidRDefault="00000000">
      <w:pPr>
        <w:widowControl w:val="0"/>
        <w:tabs>
          <w:tab w:val="left" w:pos="720"/>
          <w:tab w:val="left" w:pos="1418"/>
        </w:tabs>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Crumley, Carole L. (2015). “</w:t>
      </w:r>
      <w:proofErr w:type="spellStart"/>
      <w:r>
        <w:rPr>
          <w:rFonts w:ascii="Times New Roman" w:eastAsia="Times New Roman" w:hAnsi="Times New Roman" w:cs="Times New Roman"/>
          <w:sz w:val="20"/>
          <w:szCs w:val="20"/>
        </w:rPr>
        <w:t>Heterarchy</w:t>
      </w:r>
      <w:proofErr w:type="spellEnd"/>
      <w:r>
        <w:rPr>
          <w:rFonts w:ascii="Times New Roman" w:eastAsia="Times New Roman" w:hAnsi="Times New Roman" w:cs="Times New Roman"/>
          <w:sz w:val="20"/>
          <w:szCs w:val="20"/>
        </w:rPr>
        <w:t xml:space="preserve">.” In </w:t>
      </w:r>
      <w:r>
        <w:rPr>
          <w:rFonts w:ascii="Times New Roman" w:eastAsia="Times New Roman" w:hAnsi="Times New Roman" w:cs="Times New Roman"/>
          <w:i/>
          <w:sz w:val="20"/>
          <w:szCs w:val="20"/>
        </w:rPr>
        <w:t>Emerging Trends in the Social and Behavioral Sciences</w:t>
      </w:r>
      <w:r>
        <w:rPr>
          <w:rFonts w:ascii="Times New Roman" w:eastAsia="Times New Roman" w:hAnsi="Times New Roman" w:cs="Times New Roman"/>
          <w:sz w:val="20"/>
          <w:szCs w:val="20"/>
        </w:rPr>
        <w:t xml:space="preserve">. Scott, R.A., Buchmann, Marlis C., and </w:t>
      </w:r>
      <w:proofErr w:type="spellStart"/>
      <w:r>
        <w:rPr>
          <w:rFonts w:ascii="Times New Roman" w:eastAsia="Times New Roman" w:hAnsi="Times New Roman" w:cs="Times New Roman"/>
          <w:sz w:val="20"/>
          <w:szCs w:val="20"/>
        </w:rPr>
        <w:t>Kosslyn</w:t>
      </w:r>
      <w:proofErr w:type="spellEnd"/>
      <w:r>
        <w:rPr>
          <w:rFonts w:ascii="Times New Roman" w:eastAsia="Times New Roman" w:hAnsi="Times New Roman" w:cs="Times New Roman"/>
          <w:sz w:val="20"/>
          <w:szCs w:val="20"/>
        </w:rPr>
        <w:t>, S. (eds.). New York: Wiley &amp; Sons.</w:t>
      </w:r>
    </w:p>
  </w:footnote>
  <w:footnote w:id="6">
    <w:p w14:paraId="00000027" w14:textId="77777777" w:rsidR="005A0751" w:rsidRDefault="00000000">
      <w:pPr>
        <w:spacing w:after="0" w:line="240" w:lineRule="auto"/>
        <w:rPr>
          <w:sz w:val="20"/>
          <w:szCs w:val="20"/>
        </w:rPr>
      </w:pPr>
      <w:r>
        <w:rPr>
          <w:vertAlign w:val="superscript"/>
        </w:rPr>
        <w:footnoteRef/>
      </w:r>
      <w:r>
        <w:rPr>
          <w:rFonts w:ascii="Times New Roman" w:eastAsia="Times New Roman" w:hAnsi="Times New Roman" w:cs="Times New Roman"/>
          <w:sz w:val="20"/>
          <w:szCs w:val="20"/>
        </w:rPr>
        <w:t xml:space="preserve"> Ray, Celeste, and Fernández-Götz, Manuel (eds.) (2021). </w:t>
      </w:r>
      <w:r>
        <w:rPr>
          <w:rFonts w:ascii="Times New Roman" w:eastAsia="Times New Roman" w:hAnsi="Times New Roman" w:cs="Times New Roman"/>
          <w:i/>
          <w:sz w:val="20"/>
          <w:szCs w:val="20"/>
        </w:rPr>
        <w:t xml:space="preserve">Historical Ecologies, </w:t>
      </w:r>
      <w:proofErr w:type="spellStart"/>
      <w:r>
        <w:rPr>
          <w:rFonts w:ascii="Times New Roman" w:eastAsia="Times New Roman" w:hAnsi="Times New Roman" w:cs="Times New Roman"/>
          <w:i/>
          <w:sz w:val="20"/>
          <w:szCs w:val="20"/>
        </w:rPr>
        <w:t>Heterarchies</w:t>
      </w:r>
      <w:proofErr w:type="spellEnd"/>
      <w:r>
        <w:rPr>
          <w:rFonts w:ascii="Times New Roman" w:eastAsia="Times New Roman" w:hAnsi="Times New Roman" w:cs="Times New Roman"/>
          <w:i/>
          <w:sz w:val="20"/>
          <w:szCs w:val="20"/>
        </w:rPr>
        <w:t xml:space="preserve"> and Transtemporal Landscapes</w:t>
      </w:r>
      <w:r>
        <w:rPr>
          <w:rFonts w:ascii="Times New Roman" w:eastAsia="Times New Roman" w:hAnsi="Times New Roman" w:cs="Times New Roman"/>
          <w:sz w:val="20"/>
          <w:szCs w:val="20"/>
        </w:rPr>
        <w:t>. New York: Routledge.</w:t>
      </w:r>
    </w:p>
  </w:footnote>
  <w:footnote w:id="7">
    <w:p w14:paraId="00000026" w14:textId="77777777" w:rsidR="005A0751" w:rsidRDefault="00000000">
      <w:pPr>
        <w:spacing w:after="0" w:line="240" w:lineRule="auto"/>
        <w:rPr>
          <w:sz w:val="20"/>
          <w:szCs w:val="20"/>
        </w:rPr>
      </w:pPr>
      <w:r>
        <w:rPr>
          <w:vertAlign w:val="superscript"/>
        </w:rPr>
        <w:footnoteRef/>
      </w:r>
      <w:r>
        <w:rPr>
          <w:rFonts w:ascii="Times New Roman" w:eastAsia="Times New Roman" w:hAnsi="Times New Roman" w:cs="Times New Roman"/>
          <w:sz w:val="20"/>
          <w:szCs w:val="20"/>
        </w:rPr>
        <w:t xml:space="preserve"> Ostrom, Elinor (1990). </w:t>
      </w:r>
      <w:r>
        <w:rPr>
          <w:rFonts w:ascii="Times New Roman" w:eastAsia="Times New Roman" w:hAnsi="Times New Roman" w:cs="Times New Roman"/>
          <w:i/>
          <w:sz w:val="20"/>
          <w:szCs w:val="20"/>
        </w:rPr>
        <w:t>Governing the Commons: The Evolution of Institutions for Collective Action</w:t>
      </w:r>
      <w:r>
        <w:rPr>
          <w:rFonts w:ascii="Times New Roman" w:eastAsia="Times New Roman" w:hAnsi="Times New Roman" w:cs="Times New Roman"/>
          <w:sz w:val="20"/>
          <w:szCs w:val="20"/>
        </w:rPr>
        <w:t>. Cambridge: Cambridge University Press.</w:t>
      </w:r>
    </w:p>
  </w:footnote>
  <w:footnote w:id="8">
    <w:p w14:paraId="00000023" w14:textId="77777777" w:rsidR="005A0751" w:rsidRDefault="00000000">
      <w:pPr>
        <w:pBdr>
          <w:top w:val="nil"/>
          <w:left w:val="nil"/>
          <w:bottom w:val="nil"/>
          <w:right w:val="nil"/>
          <w:between w:val="nil"/>
        </w:pBdr>
        <w:spacing w:after="0" w:line="240" w:lineRule="auto"/>
        <w:rPr>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Graeber, David, and </w:t>
      </w:r>
      <w:proofErr w:type="spellStart"/>
      <w:r>
        <w:rPr>
          <w:rFonts w:ascii="Times New Roman" w:eastAsia="Times New Roman" w:hAnsi="Times New Roman" w:cs="Times New Roman"/>
          <w:color w:val="000000"/>
          <w:sz w:val="20"/>
          <w:szCs w:val="20"/>
        </w:rPr>
        <w:t>Wengrow</w:t>
      </w:r>
      <w:proofErr w:type="spellEnd"/>
      <w:r>
        <w:rPr>
          <w:rFonts w:ascii="Times New Roman" w:eastAsia="Times New Roman" w:hAnsi="Times New Roman" w:cs="Times New Roman"/>
          <w:color w:val="000000"/>
          <w:sz w:val="20"/>
          <w:szCs w:val="20"/>
        </w:rPr>
        <w:t xml:space="preserve">, David (2021). </w:t>
      </w:r>
      <w:r>
        <w:rPr>
          <w:rFonts w:ascii="Times New Roman" w:eastAsia="Times New Roman" w:hAnsi="Times New Roman" w:cs="Times New Roman"/>
          <w:i/>
          <w:color w:val="000000"/>
          <w:sz w:val="20"/>
          <w:szCs w:val="20"/>
        </w:rPr>
        <w:t>The Dawn of Everything: A New History of Humanity</w:t>
      </w:r>
      <w:r>
        <w:rPr>
          <w:rFonts w:ascii="Times New Roman" w:eastAsia="Times New Roman" w:hAnsi="Times New Roman" w:cs="Times New Roman"/>
          <w:color w:val="000000"/>
          <w:sz w:val="20"/>
          <w:szCs w:val="20"/>
        </w:rPr>
        <w:t>. Allen Lane.</w:t>
      </w:r>
    </w:p>
  </w:footnote>
  <w:footnote w:id="9">
    <w:p w14:paraId="00000024" w14:textId="77777777" w:rsidR="005A0751" w:rsidRDefault="00000000">
      <w:pPr>
        <w:pBdr>
          <w:top w:val="nil"/>
          <w:left w:val="nil"/>
          <w:bottom w:val="nil"/>
          <w:right w:val="nil"/>
          <w:between w:val="nil"/>
        </w:pBdr>
        <w:spacing w:after="0" w:line="240" w:lineRule="auto"/>
        <w:rPr>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Kuhn, Thomas </w:t>
      </w:r>
      <w:r>
        <w:rPr>
          <w:rFonts w:ascii="Times New Roman" w:eastAsia="Times New Roman" w:hAnsi="Times New Roman" w:cs="Times New Roman"/>
          <w:sz w:val="20"/>
          <w:szCs w:val="20"/>
        </w:rPr>
        <w:t>S</w:t>
      </w:r>
      <w:r>
        <w:rPr>
          <w:rFonts w:ascii="Times New Roman" w:eastAsia="Times New Roman" w:hAnsi="Times New Roman" w:cs="Times New Roman"/>
          <w:color w:val="000000"/>
          <w:sz w:val="20"/>
          <w:szCs w:val="20"/>
        </w:rPr>
        <w:t xml:space="preserve">. (1970). </w:t>
      </w:r>
      <w:r>
        <w:rPr>
          <w:rFonts w:ascii="Times New Roman" w:eastAsia="Times New Roman" w:hAnsi="Times New Roman" w:cs="Times New Roman"/>
          <w:i/>
          <w:color w:val="000000"/>
          <w:sz w:val="20"/>
          <w:szCs w:val="20"/>
        </w:rPr>
        <w:t>The Structure of Scientific Revolutions</w:t>
      </w:r>
      <w:r>
        <w:rPr>
          <w:rFonts w:ascii="Times New Roman" w:eastAsia="Times New Roman" w:hAnsi="Times New Roman" w:cs="Times New Roman"/>
          <w:color w:val="000000"/>
          <w:sz w:val="20"/>
          <w:szCs w:val="20"/>
        </w:rPr>
        <w:t xml:space="preserve"> (1962). Chicago: University of Chicago Press.</w:t>
      </w:r>
    </w:p>
  </w:footnote>
  <w:footnote w:id="10">
    <w:p w14:paraId="00000025" w14:textId="77777777" w:rsidR="005A0751" w:rsidRDefault="00000000">
      <w:pPr>
        <w:pBdr>
          <w:top w:val="nil"/>
          <w:left w:val="nil"/>
          <w:bottom w:val="nil"/>
          <w:right w:val="nil"/>
          <w:between w:val="nil"/>
        </w:pBdr>
        <w:spacing w:after="0" w:line="240" w:lineRule="auto"/>
        <w:rPr>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Kuhn, Thomas </w:t>
      </w:r>
      <w:r>
        <w:rPr>
          <w:rFonts w:ascii="Times New Roman" w:eastAsia="Times New Roman" w:hAnsi="Times New Roman" w:cs="Times New Roman"/>
          <w:sz w:val="20"/>
          <w:szCs w:val="20"/>
        </w:rPr>
        <w:t>S</w:t>
      </w:r>
      <w:r>
        <w:rPr>
          <w:rFonts w:ascii="Times New Roman" w:eastAsia="Times New Roman" w:hAnsi="Times New Roman" w:cs="Times New Roman"/>
          <w:color w:val="000000"/>
          <w:sz w:val="20"/>
          <w:szCs w:val="20"/>
        </w:rPr>
        <w:t xml:space="preserve">. (1970). </w:t>
      </w:r>
      <w:r>
        <w:rPr>
          <w:rFonts w:ascii="Times New Roman" w:eastAsia="Times New Roman" w:hAnsi="Times New Roman" w:cs="Times New Roman"/>
          <w:i/>
          <w:color w:val="000000"/>
          <w:sz w:val="20"/>
          <w:szCs w:val="20"/>
        </w:rPr>
        <w:t>The Structure of Scientific Revolutions</w:t>
      </w:r>
      <w:r>
        <w:rPr>
          <w:rFonts w:ascii="Times New Roman" w:eastAsia="Times New Roman" w:hAnsi="Times New Roman" w:cs="Times New Roman"/>
          <w:color w:val="000000"/>
          <w:sz w:val="20"/>
          <w:szCs w:val="20"/>
        </w:rPr>
        <w:t xml:space="preserve"> (1962). Chicago: University of Chicago Press. p. 6.</w:t>
      </w:r>
    </w:p>
  </w:footnote>
  <w:footnote w:id="11">
    <w:p w14:paraId="00000028" w14:textId="77777777" w:rsidR="005A0751" w:rsidRDefault="00000000">
      <w:pPr>
        <w:spacing w:after="0" w:line="240" w:lineRule="auto"/>
        <w:rPr>
          <w:rFonts w:ascii="Times New Roman" w:eastAsia="Times New Roman" w:hAnsi="Times New Roman" w:cs="Times New Roman"/>
          <w:sz w:val="20"/>
          <w:szCs w:val="20"/>
          <w:highlight w:val="white"/>
        </w:rPr>
      </w:pPr>
      <w:r>
        <w:rPr>
          <w:vertAlign w:val="superscript"/>
        </w:rPr>
        <w:footnoteRef/>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highlight w:val="white"/>
        </w:rPr>
        <w:t xml:space="preserve">Gero, Joan M., and Conkey, Margaret W. (eds.) (1991). </w:t>
      </w:r>
      <w:r>
        <w:rPr>
          <w:rFonts w:ascii="Times New Roman" w:eastAsia="Times New Roman" w:hAnsi="Times New Roman" w:cs="Times New Roman"/>
          <w:i/>
          <w:sz w:val="20"/>
          <w:szCs w:val="20"/>
          <w:highlight w:val="white"/>
        </w:rPr>
        <w:t>Engendering Archaeology</w:t>
      </w:r>
      <w:r>
        <w:rPr>
          <w:rFonts w:ascii="Times New Roman" w:eastAsia="Times New Roman" w:hAnsi="Times New Roman" w:cs="Times New Roman"/>
          <w:sz w:val="20"/>
          <w:szCs w:val="20"/>
          <w:highlight w:val="white"/>
        </w:rPr>
        <w:t>. Oxford: Blackwell.</w:t>
      </w:r>
    </w:p>
    <w:p w14:paraId="00000029" w14:textId="77777777" w:rsidR="005A0751" w:rsidRDefault="00000000">
      <w:pPr>
        <w:spacing w:after="0" w:line="240" w:lineRule="auto"/>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Spector, Janet D. (1993). </w:t>
      </w:r>
      <w:r>
        <w:rPr>
          <w:rFonts w:ascii="Times New Roman" w:eastAsia="Times New Roman" w:hAnsi="Times New Roman" w:cs="Times New Roman"/>
          <w:i/>
          <w:sz w:val="20"/>
          <w:szCs w:val="20"/>
          <w:highlight w:val="white"/>
        </w:rPr>
        <w:t>What This Awl Means: Feminist Archaeology at a Wahpeton Dakota Village</w:t>
      </w:r>
      <w:r>
        <w:rPr>
          <w:rFonts w:ascii="Times New Roman" w:eastAsia="Times New Roman" w:hAnsi="Times New Roman" w:cs="Times New Roman"/>
          <w:sz w:val="20"/>
          <w:szCs w:val="20"/>
          <w:highlight w:val="white"/>
        </w:rPr>
        <w:t>. Minneapolis: Minnesota Historical Society Press.</w:t>
      </w:r>
    </w:p>
  </w:footnote>
  <w:footnote w:id="12">
    <w:p w14:paraId="0000002A" w14:textId="77777777" w:rsidR="005A0751" w:rsidRDefault="00000000">
      <w:pPr>
        <w:spacing w:after="0" w:line="240" w:lineRule="auto"/>
        <w:rPr>
          <w:sz w:val="20"/>
          <w:szCs w:val="20"/>
        </w:rPr>
      </w:pPr>
      <w:r>
        <w:rPr>
          <w:vertAlign w:val="superscript"/>
        </w:rPr>
        <w:footnoteRef/>
      </w: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highlight w:val="white"/>
        </w:rPr>
        <w:t>Hedenstierna</w:t>
      </w:r>
      <w:proofErr w:type="spellEnd"/>
      <w:r>
        <w:rPr>
          <w:rFonts w:ascii="Times New Roman" w:eastAsia="Times New Roman" w:hAnsi="Times New Roman" w:cs="Times New Roman"/>
          <w:sz w:val="20"/>
          <w:szCs w:val="20"/>
          <w:highlight w:val="white"/>
        </w:rPr>
        <w:t xml:space="preserve">-Jonson, Charlotte; </w:t>
      </w:r>
      <w:proofErr w:type="spellStart"/>
      <w:r>
        <w:rPr>
          <w:rFonts w:ascii="Times New Roman" w:eastAsia="Times New Roman" w:hAnsi="Times New Roman" w:cs="Times New Roman"/>
          <w:sz w:val="20"/>
          <w:szCs w:val="20"/>
          <w:highlight w:val="white"/>
        </w:rPr>
        <w:t>Kjellström</w:t>
      </w:r>
      <w:proofErr w:type="spellEnd"/>
      <w:r>
        <w:rPr>
          <w:rFonts w:ascii="Times New Roman" w:eastAsia="Times New Roman" w:hAnsi="Times New Roman" w:cs="Times New Roman"/>
          <w:sz w:val="20"/>
          <w:szCs w:val="20"/>
          <w:highlight w:val="white"/>
        </w:rPr>
        <w:t xml:space="preserve">, Anna; Zachrisson, Torun; </w:t>
      </w:r>
      <w:proofErr w:type="spellStart"/>
      <w:r>
        <w:rPr>
          <w:rFonts w:ascii="Times New Roman" w:eastAsia="Times New Roman" w:hAnsi="Times New Roman" w:cs="Times New Roman"/>
          <w:sz w:val="20"/>
          <w:szCs w:val="20"/>
          <w:highlight w:val="white"/>
        </w:rPr>
        <w:t>Krzewińska</w:t>
      </w:r>
      <w:proofErr w:type="spellEnd"/>
      <w:r>
        <w:rPr>
          <w:rFonts w:ascii="Times New Roman" w:eastAsia="Times New Roman" w:hAnsi="Times New Roman" w:cs="Times New Roman"/>
          <w:sz w:val="20"/>
          <w:szCs w:val="20"/>
          <w:highlight w:val="white"/>
        </w:rPr>
        <w:t xml:space="preserve">, Maja; Sobrado, Veronica; Price, Neil; Günther, Torsten; Jakobsson, Mattias; </w:t>
      </w:r>
      <w:proofErr w:type="spellStart"/>
      <w:r>
        <w:rPr>
          <w:rFonts w:ascii="Times New Roman" w:eastAsia="Times New Roman" w:hAnsi="Times New Roman" w:cs="Times New Roman"/>
          <w:sz w:val="20"/>
          <w:szCs w:val="20"/>
          <w:highlight w:val="white"/>
        </w:rPr>
        <w:t>Götherström</w:t>
      </w:r>
      <w:proofErr w:type="spellEnd"/>
      <w:r>
        <w:rPr>
          <w:rFonts w:ascii="Times New Roman" w:eastAsia="Times New Roman" w:hAnsi="Times New Roman" w:cs="Times New Roman"/>
          <w:sz w:val="20"/>
          <w:szCs w:val="20"/>
          <w:highlight w:val="white"/>
        </w:rPr>
        <w:t xml:space="preserve">, Anders; </w:t>
      </w:r>
      <w:proofErr w:type="spellStart"/>
      <w:r>
        <w:rPr>
          <w:rFonts w:ascii="Times New Roman" w:eastAsia="Times New Roman" w:hAnsi="Times New Roman" w:cs="Times New Roman"/>
          <w:sz w:val="20"/>
          <w:szCs w:val="20"/>
          <w:highlight w:val="white"/>
        </w:rPr>
        <w:t>Storå</w:t>
      </w:r>
      <w:proofErr w:type="spellEnd"/>
      <w:r>
        <w:rPr>
          <w:rFonts w:ascii="Times New Roman" w:eastAsia="Times New Roman" w:hAnsi="Times New Roman" w:cs="Times New Roman"/>
          <w:sz w:val="20"/>
          <w:szCs w:val="20"/>
          <w:highlight w:val="white"/>
        </w:rPr>
        <w:t>, Jan (2017). “A Female Viking Warrior Confirmed by Genomics.” American Journal of Physical Anthropology. 164 (4): 853–860.</w:t>
      </w:r>
    </w:p>
  </w:footnote>
  <w:footnote w:id="13">
    <w:p w14:paraId="0000002B" w14:textId="77777777" w:rsidR="005A0751" w:rsidRDefault="00000000">
      <w:pPr>
        <w:spacing w:after="0"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Thurston, T.L., and Fernández-Götz, Manuel (eds.) (2021). </w:t>
      </w:r>
      <w:r>
        <w:rPr>
          <w:rFonts w:ascii="Times New Roman" w:eastAsia="Times New Roman" w:hAnsi="Times New Roman" w:cs="Times New Roman"/>
          <w:i/>
          <w:sz w:val="20"/>
          <w:szCs w:val="20"/>
        </w:rPr>
        <w:t>Power From Below in Premodern Societies: The Dynamics of Political Complexity in the Archaeological Record</w:t>
      </w:r>
      <w:r>
        <w:rPr>
          <w:rFonts w:ascii="Times New Roman" w:eastAsia="Times New Roman" w:hAnsi="Times New Roman" w:cs="Times New Roman"/>
          <w:sz w:val="20"/>
          <w:szCs w:val="20"/>
        </w:rPr>
        <w:t>. Cambridge: Cambridge University Press.</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0751"/>
    <w:rsid w:val="005A0751"/>
    <w:rsid w:val="00763983"/>
    <w:rsid w:val="008A6558"/>
    <w:rsid w:val="008F54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AA03733-BA18-4C43-9EE8-582EFF2A71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US"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observatory.wiki/Human_Bridges" TargetMode="External"/><Relationship Id="rId13" Type="http://schemas.openxmlformats.org/officeDocument/2006/relationships/hyperlink" Target="https://www.cambridge.org/core/books/logics-of-social-structure/2A57247E89DC666DD791C90A9C1DFD5B" TargetMode="External"/><Relationship Id="rId18" Type="http://schemas.openxmlformats.org/officeDocument/2006/relationships/hyperlink" Target="https://www.biophysics.org/what-is-biophysics" TargetMode="External"/><Relationship Id="rId26" Type="http://schemas.openxmlformats.org/officeDocument/2006/relationships/hyperlink" Target="https://www.researchgate.net/profile/Margaret-Conkey/publication/269423312_Engendering_Archaeology_Women_and_Prehistory/links/57510e3b08aed9fa2bd4a5bf/Engendering-Archaeology-Women-and-Prehistory.pdf" TargetMode="External"/><Relationship Id="rId3" Type="http://schemas.openxmlformats.org/officeDocument/2006/relationships/webSettings" Target="webSettings.xml"/><Relationship Id="rId21" Type="http://schemas.openxmlformats.org/officeDocument/2006/relationships/hyperlink" Target="https://sesmad.dartmouth.edu/theories/54" TargetMode="External"/><Relationship Id="rId7" Type="http://schemas.openxmlformats.org/officeDocument/2006/relationships/hyperlink" Target="https://ihopenet.org/" TargetMode="External"/><Relationship Id="rId12" Type="http://schemas.openxmlformats.org/officeDocument/2006/relationships/hyperlink" Target="https://www.degruyter.com/document/doi/10.1515/9781400828302.69/html?lang=en&amp;srsltid" TargetMode="External"/><Relationship Id="rId17" Type="http://schemas.openxmlformats.org/officeDocument/2006/relationships/hyperlink" Target="https://www.routledge.com/Historical-Ecologies-Heterarchies-and-Transtemporal-Landscapes/Ray-Fernandez-Gotz/p/book/9780367729745?srsltid=AfmBOoolqJCLORv61qaSGJ8Wug8pl7AOixwG6ISgHojOLUBqzJYXDOlZ" TargetMode="External"/><Relationship Id="rId25" Type="http://schemas.openxmlformats.org/officeDocument/2006/relationships/hyperlink" Target="https://press.uchicago.edu/ucp/books/book/chicago/S/bo13179781.html" TargetMode="External"/><Relationship Id="rId2" Type="http://schemas.openxmlformats.org/officeDocument/2006/relationships/settings" Target="settings.xml"/><Relationship Id="rId16" Type="http://schemas.openxmlformats.org/officeDocument/2006/relationships/hyperlink" Target="https://www.taylorfrancis.com/chapters/mono/10.4324/9781315247908-13/remember-organize-heterarchy-across-disciplines-william-baden-christopher-beekman" TargetMode="External"/><Relationship Id="rId20" Type="http://schemas.openxmlformats.org/officeDocument/2006/relationships/hyperlink" Target="https://www.nobelprize.org/prizes/economic-sciences/2009/ostrom/facts/" TargetMode="External"/><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www.unc.edu/" TargetMode="External"/><Relationship Id="rId11" Type="http://schemas.openxmlformats.org/officeDocument/2006/relationships/hyperlink" Target="https://sociology.columbia.edu/content/david-c-stark" TargetMode="External"/><Relationship Id="rId24" Type="http://schemas.openxmlformats.org/officeDocument/2006/relationships/hyperlink" Target="https://plato.stanford.edu/entries/thomas-kuhn/" TargetMode="External"/><Relationship Id="rId5" Type="http://schemas.openxmlformats.org/officeDocument/2006/relationships/endnotes" Target="endnotes.xml"/><Relationship Id="rId15" Type="http://schemas.openxmlformats.org/officeDocument/2006/relationships/hyperlink" Target="https://www.jstor.org/stable/20170145" TargetMode="External"/><Relationship Id="rId23" Type="http://schemas.openxmlformats.org/officeDocument/2006/relationships/hyperlink" Target="https://us.macmillan.com/books/9780374157357/thedawnofeverything/" TargetMode="External"/><Relationship Id="rId28" Type="http://schemas.openxmlformats.org/officeDocument/2006/relationships/hyperlink" Target="https://www.cambridge.org/core/books/power-from-below-in-premodern-societies/372249785256848CED0FC85AEA87546E" TargetMode="External"/><Relationship Id="rId10" Type="http://schemas.openxmlformats.org/officeDocument/2006/relationships/hyperlink" Target="https://libcat.simmons.edu/Record/b1077555/TOC" TargetMode="External"/><Relationship Id="rId19" Type="http://schemas.openxmlformats.org/officeDocument/2006/relationships/hyperlink" Target="https://www.cambridge.org/core/books/governing-the-commons/7AB7AE11BADA84409C34815CC288CD" TargetMode="External"/><Relationship Id="rId4" Type="http://schemas.openxmlformats.org/officeDocument/2006/relationships/footnotes" Target="footnotes.xml"/><Relationship Id="rId9" Type="http://schemas.openxmlformats.org/officeDocument/2006/relationships/hyperlink" Target="https://cogs.indiana.edu/directory/faculty/profile.php?faculty=dughof" TargetMode="External"/><Relationship Id="rId14" Type="http://schemas.openxmlformats.org/officeDocument/2006/relationships/hyperlink" Target="https://www.cambridge.org/core/books/logics-of-social-structure/2A57247E89DC666DD791C90A9C1DFD5B" TargetMode="External"/><Relationship Id="rId22" Type="http://schemas.openxmlformats.org/officeDocument/2006/relationships/hyperlink" Target="about:blank" TargetMode="External"/><Relationship Id="rId27" Type="http://schemas.openxmlformats.org/officeDocument/2006/relationships/hyperlink" Target="https://pubmed.ncbi.nlm.nih.gov/28884802/" TargetMode="Externa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1517</Words>
  <Characters>8650</Characters>
  <Application>Microsoft Office Word</Application>
  <DocSecurity>0</DocSecurity>
  <Lines>72</Lines>
  <Paragraphs>20</Paragraphs>
  <ScaleCrop>false</ScaleCrop>
  <Company/>
  <LinksUpToDate>false</LinksUpToDate>
  <CharactersWithSpaces>10147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Ruhi Bhasin</dc:creator>
  <cp:lastModifiedBy>Ruhi Bhasin</cp:lastModifiedBy>
  <cp:revision>2</cp:revision>
  <dcterms:created xsi:type="dcterms:W3CDTF">2025-01-28T15:53:00Z</dcterms:created>
  <dcterms:modified xsi:type="dcterms:W3CDTF">2025-01-28T15:53:00Z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dc644f0ae9b5a60d949cfc13b376f71b3a1a137bc726331702f8c31656b85ea9</vt:lpwstr>
  </property>
</Properties>
</file>