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The Decline of the U.S. Empire: Where Is It Taking Us All?</w:t>
      </w:r>
      <w:r w:rsidDel="00000000" w:rsidR="00000000" w:rsidRPr="00000000">
        <w:rPr>
          <w:rtl w:val="0"/>
        </w:rPr>
      </w:r>
    </w:p>
    <w:p w:rsidR="00000000" w:rsidDel="00000000" w:rsidP="00000000" w:rsidRDefault="00000000" w:rsidRPr="00000000" w14:paraId="00000002">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Richard D. Wolff</w:t>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color w:val="1155cc"/>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Richard D. Wolff is professor of economics emeritus at the University of Massachusetts, Amherst, and a visiting professor in the Graduate Program in International Affairs of the New School University, in New York. Wolff’s weekly show, “Economic Update,” is syndicated by more than 100 radio stations and goes to millions via several TV networks and YouTube. His most recent </w:t>
      </w:r>
      <w:hyperlink r:id="rId6">
        <w:r w:rsidDel="00000000" w:rsidR="00000000" w:rsidRPr="00000000">
          <w:rPr>
            <w:rFonts w:ascii="Times New Roman" w:cs="Times New Roman" w:eastAsia="Times New Roman" w:hAnsi="Times New Roman"/>
            <w:color w:val="1155cc"/>
            <w:sz w:val="28"/>
            <w:szCs w:val="28"/>
            <w:u w:val="single"/>
            <w:rtl w:val="0"/>
          </w:rPr>
          <w:t xml:space="preserve">book with Democracy at Work</w:t>
        </w:r>
      </w:hyperlink>
      <w:r w:rsidDel="00000000" w:rsidR="00000000" w:rsidRPr="00000000">
        <w:rPr>
          <w:rFonts w:ascii="Times New Roman" w:cs="Times New Roman" w:eastAsia="Times New Roman" w:hAnsi="Times New Roman"/>
          <w:sz w:val="28"/>
          <w:szCs w:val="28"/>
          <w:rtl w:val="0"/>
        </w:rPr>
        <w:t xml:space="preserve"> is </w:t>
      </w:r>
      <w:r w:rsidDel="00000000" w:rsidR="00000000" w:rsidRPr="00000000">
        <w:rPr>
          <w:rFonts w:ascii="Times New Roman" w:cs="Times New Roman" w:eastAsia="Times New Roman" w:hAnsi="Times New Roman"/>
          <w:i w:val="1"/>
          <w:sz w:val="28"/>
          <w:szCs w:val="28"/>
          <w:rtl w:val="0"/>
        </w:rPr>
        <w:t xml:space="preserve">Understanding Capitalism</w:t>
      </w:r>
      <w:r w:rsidDel="00000000" w:rsidR="00000000" w:rsidRPr="00000000">
        <w:rPr>
          <w:rFonts w:ascii="Times New Roman" w:cs="Times New Roman" w:eastAsia="Times New Roman" w:hAnsi="Times New Roman"/>
          <w:sz w:val="28"/>
          <w:szCs w:val="28"/>
          <w:rtl w:val="0"/>
        </w:rPr>
        <w:t xml:space="preserve"> (2024), which responds to requests from readers of his earlier books: </w:t>
      </w:r>
      <w:r w:rsidDel="00000000" w:rsidR="00000000" w:rsidRPr="00000000">
        <w:rPr>
          <w:rFonts w:ascii="Times New Roman" w:cs="Times New Roman" w:eastAsia="Times New Roman" w:hAnsi="Times New Roman"/>
          <w:i w:val="1"/>
          <w:sz w:val="28"/>
          <w:szCs w:val="28"/>
          <w:rtl w:val="0"/>
        </w:rPr>
        <w:t xml:space="preserve">Understanding Socialism</w:t>
      </w:r>
      <w:r w:rsidDel="00000000" w:rsidR="00000000" w:rsidRPr="00000000">
        <w:rPr>
          <w:rFonts w:ascii="Times New Roman" w:cs="Times New Roman" w:eastAsia="Times New Roman" w:hAnsi="Times New Roman"/>
          <w:sz w:val="28"/>
          <w:szCs w:val="28"/>
          <w:rtl w:val="0"/>
        </w:rPr>
        <w:t xml:space="preserve"> and </w:t>
      </w:r>
      <w:r w:rsidDel="00000000" w:rsidR="00000000" w:rsidRPr="00000000">
        <w:rPr>
          <w:rFonts w:ascii="Times New Roman" w:cs="Times New Roman" w:eastAsia="Times New Roman" w:hAnsi="Times New Roman"/>
          <w:i w:val="1"/>
          <w:sz w:val="28"/>
          <w:szCs w:val="28"/>
          <w:rtl w:val="0"/>
        </w:rPr>
        <w:t xml:space="preserve">Understanding Marxism</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color w:val="1155cc"/>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r w:rsidDel="00000000" w:rsidR="00000000" w:rsidRPr="00000000">
        <w:rPr>
          <w:rtl w:val="0"/>
        </w:rPr>
      </w:r>
    </w:p>
    <w:p w:rsidR="00000000" w:rsidDel="00000000" w:rsidP="00000000" w:rsidRDefault="00000000" w:rsidRPr="00000000" w14:paraId="00000005">
      <w:pPr>
        <w:widowControl w:val="0"/>
        <w:spacing w:after="200" w:before="200" w:line="276" w:lineRule="auto"/>
        <w:rPr>
          <w:rFonts w:ascii="Times New Roman" w:cs="Times New Roman" w:eastAsia="Times New Roman" w:hAnsi="Times New Roman"/>
          <w:i w:val="1"/>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This article was produced by </w:t>
      </w:r>
      <w:hyperlink r:id="rId7">
        <w:r w:rsidDel="00000000" w:rsidR="00000000" w:rsidRPr="00000000">
          <w:rPr>
            <w:rFonts w:ascii="Times New Roman" w:cs="Times New Roman" w:eastAsia="Times New Roman" w:hAnsi="Times New Roman"/>
            <w:i w:val="1"/>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i w:val="1"/>
          <w:sz w:val="28"/>
          <w:szCs w:val="28"/>
          <w:highlight w:val="white"/>
          <w:rtl w:val="0"/>
        </w:rPr>
        <w:t xml:space="preserve">, a project of the Independent Media Institute.</w:t>
      </w:r>
      <w:r w:rsidDel="00000000" w:rsidR="00000000" w:rsidRPr="00000000">
        <w:rPr>
          <w:rtl w:val="0"/>
        </w:rPr>
      </w:r>
    </w:p>
    <w:p w:rsidR="00000000" w:rsidDel="00000000" w:rsidP="00000000" w:rsidRDefault="00000000" w:rsidRPr="00000000" w14:paraId="00000006">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Economy, History, Labor, Politics, Opinion, War, Social Benefits, North America/United States of America, Asia/China, Europe/United Kingdom</w:t>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8">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evidence suggests that empires often react to periods of their own decline by over-extending their coping mechanisms. Military actions, infrastructure problems, and social welfare demands may then combine or clash, accumulating costs and backlash effects that the declining empire cannot manage. Policies aimed to </w:t>
      </w:r>
      <w:r w:rsidDel="00000000" w:rsidR="00000000" w:rsidRPr="00000000">
        <w:rPr>
          <w:rFonts w:ascii="Times New Roman" w:cs="Times New Roman" w:eastAsia="Times New Roman" w:hAnsi="Times New Roman"/>
          <w:sz w:val="28"/>
          <w:szCs w:val="28"/>
          <w:rtl w:val="0"/>
        </w:rPr>
        <w:t xml:space="preserve">strengthen empire</w:t>
      </w:r>
      <w:r w:rsidDel="00000000" w:rsidR="00000000" w:rsidRPr="00000000">
        <w:rPr>
          <w:rFonts w:ascii="Times New Roman" w:cs="Times New Roman" w:eastAsia="Times New Roman" w:hAnsi="Times New Roman"/>
          <w:sz w:val="28"/>
          <w:szCs w:val="28"/>
          <w:rtl w:val="0"/>
        </w:rPr>
        <w:t xml:space="preserve">—and that once did—now undermine it. Contemporary social changes inside and outside the empire can reinforce, slow, or reverse the decline. However, when decline leads leaders to deny its existence, it can become self-accelerating. In empires’ early years, leaders and the led may repress those among them who stress or merely even mention decline. Social problems may likewise be denied, minimized, or, if admitted, blamed on convenient scapegoats—immigrants, foreign powers, or ethnic minorities—rather than linked to imperial decline.</w:t>
      </w:r>
    </w:p>
    <w:p w:rsidR="00000000" w:rsidDel="00000000" w:rsidP="00000000" w:rsidRDefault="00000000" w:rsidRPr="00000000" w14:paraId="0000000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U.S. empire, audaciously proclaimed by the Monroe Doctrine soon after </w:t>
      </w:r>
      <w:r w:rsidDel="00000000" w:rsidR="00000000" w:rsidRPr="00000000">
        <w:rPr>
          <w:rFonts w:ascii="Times New Roman" w:cs="Times New Roman" w:eastAsia="Times New Roman" w:hAnsi="Times New Roman"/>
          <w:sz w:val="28"/>
          <w:szCs w:val="28"/>
          <w:rtl w:val="0"/>
        </w:rPr>
        <w:t xml:space="preserve">two independence wars</w:t>
      </w:r>
      <w:r w:rsidDel="00000000" w:rsidR="00000000" w:rsidRPr="00000000">
        <w:rPr>
          <w:rFonts w:ascii="Times New Roman" w:cs="Times New Roman" w:eastAsia="Times New Roman" w:hAnsi="Times New Roman"/>
          <w:sz w:val="28"/>
          <w:szCs w:val="28"/>
          <w:rtl w:val="0"/>
        </w:rPr>
        <w:t xml:space="preserve"> won against Britain, grew across the 19th</w:t>
      </w:r>
      <w:r w:rsidDel="00000000" w:rsidR="00000000" w:rsidRPr="00000000">
        <w:rPr>
          <w:rFonts w:ascii="Times New Roman" w:cs="Times New Roman" w:eastAsia="Times New Roman" w:hAnsi="Times New Roman"/>
          <w:sz w:val="28"/>
          <w:szCs w:val="28"/>
          <w:rtl w:val="0"/>
        </w:rPr>
        <w:t xml:space="preserve"> and 20th centuries, and peaked during the decades between 1945 and 2010. The rise of the U.S. empire overlapped with the decline of the British empire. The Soviet Union represented limited political and military challenges, but never any serious economic competition or threat. The Cold War was a lopsided contest whose outcome was programmed in from its beginning. All of the U.S. empire’s potential economic competitors or threats were devastated by World War II. The following years found Europe losing its colonies. The unique global position of the United States then, with its disproportional position in world trade and investment, was anomalous and likely unsustainable. An attitude of denial at the time that decline was all but certain morphed only too readily into the attitude of denial now that the decline is well underway.</w:t>
      </w:r>
    </w:p>
    <w:p w:rsidR="00000000" w:rsidDel="00000000" w:rsidP="00000000" w:rsidRDefault="00000000" w:rsidRPr="00000000" w14:paraId="0000000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United States could not prevail militarily over all of Korea in its 1950–53 war there. The United States lost its subsequent wars in Vietnam, Afghanistan, and Iraq. The NATO alliance was insufficient to alter any of those outcomes. U.S. military and financial support for Ukraine and the massive United States and NATO sanctions war against Russia are failures to date and </w:t>
      </w:r>
      <w:r w:rsidDel="00000000" w:rsidR="00000000" w:rsidRPr="00000000">
        <w:rPr>
          <w:rFonts w:ascii="Times New Roman" w:cs="Times New Roman" w:eastAsia="Times New Roman" w:hAnsi="Times New Roman"/>
          <w:sz w:val="28"/>
          <w:szCs w:val="28"/>
          <w:rtl w:val="0"/>
        </w:rPr>
        <w:t xml:space="preserve">are </w:t>
      </w:r>
      <w:r w:rsidDel="00000000" w:rsidR="00000000" w:rsidRPr="00000000">
        <w:rPr>
          <w:rFonts w:ascii="Times New Roman" w:cs="Times New Roman" w:eastAsia="Times New Roman" w:hAnsi="Times New Roman"/>
          <w:sz w:val="28"/>
          <w:szCs w:val="28"/>
          <w:rtl w:val="0"/>
        </w:rPr>
        <w:t xml:space="preserve">likely to remain so. U.S. sanctions programs against Cuba, Iran, and China have failed too. Meanwhile, the BRICS alliance counteracts U.S. policies to protect its empire, including its sanctions warfare, with increasing effectiveness.</w:t>
      </w:r>
    </w:p>
    <w:p w:rsidR="00000000" w:rsidDel="00000000" w:rsidP="00000000" w:rsidRDefault="00000000" w:rsidRPr="00000000" w14:paraId="0000000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 realms of trade, investment, and finance, we can measure the decline of the U.S. empire differently. One index is the decline of the U.S. dollar as a central bank reserve holding. Another is its decline as a means of trade, loans, and investment. Finally, consider the U.S. dollar’s decline alongside that of dollar-denominated assets as internationally desired means of holding wealth. Across the Global South, countries, industries, or firms seeking trade, loans, or investments used to go to London, Washington, or Paris for decades; they now have other options. They can go instead to Beijing, New Delhi, or Moscow, where they often secure more attractive terms.</w:t>
      </w:r>
    </w:p>
    <w:p w:rsidR="00000000" w:rsidDel="00000000" w:rsidP="00000000" w:rsidRDefault="00000000" w:rsidRPr="00000000" w14:paraId="0000000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Empire confers special advantages that translate into extraordinary profits for firms located in the country that dominates the empire. The 19th century was remarkable for its endless confrontations and struggles among empires competing for territory to dominate and thus for their industries’ higher profits. Declines of any one empire could enhance opportunities for competing empires. If the latter grabbed those opportunities, the former’s decline could worsen. One set of competing empires delivered two world wars in the last century. Another set seems increasingly driven to deliver worse, possibly nuclear world wars in this century.</w:t>
      </w:r>
    </w:p>
    <w:p w:rsidR="00000000" w:rsidDel="00000000" w:rsidP="00000000" w:rsidRDefault="00000000" w:rsidRPr="00000000" w14:paraId="0000000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Before World War I, theories circulated that the evolution of multinational corporations out of merely national mega-corporations would end or reduce the risks of war. Owners and directors of increasingly global corporations would work against war among countries as a logical extension of their profit-maximizing strategies. The century’s two world wars undermined those theories’ appearance of truth. So too did the fact that multinational mega-corporations increasingly purchased governments and subordinated state policies to those corporations’ competing growth strategies. Capitalists’ competition governed state policies at least as much as the reverse. Out of their interaction emerged the wars of the 21st century in Afghanistan, Iraq, Syria, Ukraine, and Gaza. Likewise from their interaction, rising U.S.-China tensions emerged around Taiwan and the South China Sea.</w:t>
      </w:r>
    </w:p>
    <w:p w:rsidR="00000000" w:rsidDel="00000000" w:rsidP="00000000" w:rsidRDefault="00000000" w:rsidRPr="00000000" w14:paraId="0000000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China presents a unique analytical problem. The private capitalist half of its hybrid economic system exhibits growth imperatives parallel to those agitating economies where 90–100 percent of enterprises are private capitalist in organization. The </w:t>
      </w:r>
      <w:r w:rsidDel="00000000" w:rsidR="00000000" w:rsidRPr="00000000">
        <w:rPr>
          <w:rFonts w:ascii="Times New Roman" w:cs="Times New Roman" w:eastAsia="Times New Roman" w:hAnsi="Times New Roman"/>
          <w:sz w:val="28"/>
          <w:szCs w:val="28"/>
          <w:rtl w:val="0"/>
        </w:rPr>
        <w:t xml:space="preserve">state-owned-and-operated</w:t>
      </w:r>
      <w:r w:rsidDel="00000000" w:rsidR="00000000" w:rsidRPr="00000000">
        <w:rPr>
          <w:rFonts w:ascii="Times New Roman" w:cs="Times New Roman" w:eastAsia="Times New Roman" w:hAnsi="Times New Roman"/>
          <w:sz w:val="28"/>
          <w:szCs w:val="28"/>
          <w:rtl w:val="0"/>
        </w:rPr>
        <w:t xml:space="preserve"> enterprises comprising the other half of China’s economy exhibit different drives </w:t>
      </w:r>
      <w:r w:rsidDel="00000000" w:rsidR="00000000" w:rsidRPr="00000000">
        <w:rPr>
          <w:rFonts w:ascii="Times New Roman" w:cs="Times New Roman" w:eastAsia="Times New Roman" w:hAnsi="Times New Roman"/>
          <w:sz w:val="28"/>
          <w:szCs w:val="28"/>
          <w:rtl w:val="0"/>
        </w:rPr>
        <w:t xml:space="preserve">and </w:t>
      </w:r>
      <w:r w:rsidDel="00000000" w:rsidR="00000000" w:rsidRPr="00000000">
        <w:rPr>
          <w:rFonts w:ascii="Times New Roman" w:cs="Times New Roman" w:eastAsia="Times New Roman" w:hAnsi="Times New Roman"/>
          <w:sz w:val="28"/>
          <w:szCs w:val="28"/>
          <w:rtl w:val="0"/>
        </w:rPr>
        <w:t xml:space="preserve">motivations. Profit is less their </w:t>
      </w:r>
      <w:r w:rsidDel="00000000" w:rsidR="00000000" w:rsidRPr="00000000">
        <w:rPr>
          <w:rFonts w:ascii="Times New Roman" w:cs="Times New Roman" w:eastAsia="Times New Roman" w:hAnsi="Times New Roman"/>
          <w:sz w:val="28"/>
          <w:szCs w:val="28"/>
          <w:rtl w:val="0"/>
        </w:rPr>
        <w:t xml:space="preserve">bottom line</w:t>
      </w:r>
      <w:r w:rsidDel="00000000" w:rsidR="00000000" w:rsidRPr="00000000">
        <w:rPr>
          <w:rFonts w:ascii="Times New Roman" w:cs="Times New Roman" w:eastAsia="Times New Roman" w:hAnsi="Times New Roman"/>
          <w:sz w:val="28"/>
          <w:szCs w:val="28"/>
          <w:rtl w:val="0"/>
        </w:rPr>
        <w:t xml:space="preserve"> than it is for private capitalist enterprises. Similarly, the Communist Party’s rule over the state—including the state’s regulation of the entire Chinese economy—introduces other objectives </w:t>
      </w:r>
      <w:r w:rsidDel="00000000" w:rsidR="00000000" w:rsidRPr="00000000">
        <w:rPr>
          <w:rFonts w:ascii="Times New Roman" w:cs="Times New Roman" w:eastAsia="Times New Roman" w:hAnsi="Times New Roman"/>
          <w:sz w:val="28"/>
          <w:szCs w:val="28"/>
          <w:rtl w:val="0"/>
        </w:rPr>
        <w:t xml:space="preserve">besides</w:t>
      </w:r>
      <w:r w:rsidDel="00000000" w:rsidR="00000000" w:rsidRPr="00000000">
        <w:rPr>
          <w:rFonts w:ascii="Times New Roman" w:cs="Times New Roman" w:eastAsia="Times New Roman" w:hAnsi="Times New Roman"/>
          <w:sz w:val="28"/>
          <w:szCs w:val="28"/>
          <w:rtl w:val="0"/>
        </w:rPr>
        <w:t xml:space="preserve"> profit, ones that also govern enterprise decisions. Since China and its major economic allies (BRICS) comprise the entity now competing with the declining U.S. empire and its major economic allies (G7), China’s uniqueness may yield an outcome different from past clashes of empires.</w:t>
      </w:r>
    </w:p>
    <w:p w:rsidR="00000000" w:rsidDel="00000000" w:rsidP="00000000" w:rsidRDefault="00000000" w:rsidRPr="00000000" w14:paraId="0000001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 past, one empire often supplanted another. That may be our future with this century becoming “China’s” as previous empires were American, British, and so on. However, China’s history includes earlier empires that rose and fell: another unique quality. Might China’s past and its present hybrid economy influence China away from becoming another empire and rather toward a genuinely multipolar global organization instead? Might the dreams and hopes behind the League of Nations and the United Nations achieve reality if and when China makes that happen? Or will China become the next global hegemon against heightened resistance from the United States, bringing the risk of nuclear war closer?</w:t>
      </w:r>
    </w:p>
    <w:p w:rsidR="00000000" w:rsidDel="00000000" w:rsidP="00000000" w:rsidRDefault="00000000" w:rsidRPr="00000000" w14:paraId="0000001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rough historical parallel may shed some additional light from a different angle on where today’s class of empires may lead. </w:t>
      </w:r>
      <w:r w:rsidDel="00000000" w:rsidR="00000000" w:rsidRPr="00000000">
        <w:rPr>
          <w:rFonts w:ascii="Times New Roman" w:cs="Times New Roman" w:eastAsia="Times New Roman" w:hAnsi="Times New Roman"/>
          <w:sz w:val="28"/>
          <w:szCs w:val="28"/>
          <w:rtl w:val="0"/>
        </w:rPr>
        <w:t xml:space="preserve">The movement</w:t>
      </w:r>
      <w:r w:rsidDel="00000000" w:rsidR="00000000" w:rsidRPr="00000000">
        <w:rPr>
          <w:rFonts w:ascii="Times New Roman" w:cs="Times New Roman" w:eastAsia="Times New Roman" w:hAnsi="Times New Roman"/>
          <w:sz w:val="28"/>
          <w:szCs w:val="28"/>
          <w:rtl w:val="0"/>
        </w:rPr>
        <w:t xml:space="preserve"> toward independence of its </w:t>
      </w:r>
      <w:r w:rsidDel="00000000" w:rsidR="00000000" w:rsidRPr="00000000">
        <w:rPr>
          <w:rFonts w:ascii="Times New Roman" w:cs="Times New Roman" w:eastAsia="Times New Roman" w:hAnsi="Times New Roman"/>
          <w:sz w:val="28"/>
          <w:szCs w:val="28"/>
          <w:rtl w:val="0"/>
        </w:rPr>
        <w:t xml:space="preserve">North</w:t>
      </w:r>
      <w:r w:rsidDel="00000000" w:rsidR="00000000" w:rsidRPr="00000000">
        <w:rPr>
          <w:rFonts w:ascii="Times New Roman" w:cs="Times New Roman" w:eastAsia="Times New Roman" w:hAnsi="Times New Roman"/>
          <w:sz w:val="28"/>
          <w:szCs w:val="28"/>
          <w:rtl w:val="0"/>
        </w:rPr>
        <w:t xml:space="preserve"> American colony irritated Britain sufficiently for it to attempt two wars (1775–83 and 1812–15) to stop that movement. Both wars failed. Britain learned the valuable lesson that peaceful co-existence with some co-respective planning and accommodation would enable both economies to function and grow, including in trade and investment both ways across their borders. That peaceful co-existence extended to allowing the imperial reach of the one to give way to that of the other.</w:t>
      </w:r>
    </w:p>
    <w:p w:rsidR="00000000" w:rsidDel="00000000" w:rsidP="00000000" w:rsidRDefault="00000000" w:rsidRPr="00000000" w14:paraId="0000001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Why not suggest a similar trajectory for U.S.-China relations over the next generation? Except for ideologues detached from reality, the world would prefer it over the nuclear alternative. Dealing with the two massive, unwanted consequences of capitalism—climate change and unequal distributions of wealth and income—offers projects for a U.S.-China partnership that the world will applaud. Capitalism changed dramatically in both Britain and the United States after 1815. It will likely do so again after 2025. The opportunities are attractively open-ended.</w:t>
      </w:r>
    </w:p>
    <w:sectPr>
      <w:headerReference r:id="rId8" w:type="default"/>
      <w:headerReference r:id="rId9"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democracyatwork.info/books" TargetMode="External"/><Relationship Id="rId7" Type="http://schemas.openxmlformats.org/officeDocument/2006/relationships/hyperlink" Target="https://independentmediainstitute.org/economy-for-all/"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