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Headline:</w:t>
      </w:r>
      <w:r>
        <w:rPr>
          <w:rFonts w:ascii="Times New Roman" w:eastAsia="Times New Roman" w:hAnsi="Times New Roman" w:cs="Times New Roman"/>
          <w:sz w:val="28"/>
          <w:szCs w:val="28"/>
        </w:rPr>
        <w:t xml:space="preserve"> How Banks and Investors Are Fueling a Global Biodiversity Crisis</w:t>
      </w:r>
    </w:p>
    <w:p w14:paraId="00000002"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ommercial financial flows to the forest-risk commodity sectors are driving </w:t>
      </w:r>
      <w:proofErr w:type="gramStart"/>
      <w:r>
        <w:rPr>
          <w:rFonts w:ascii="Times New Roman" w:eastAsia="Times New Roman" w:hAnsi="Times New Roman" w:cs="Times New Roman"/>
          <w:sz w:val="28"/>
          <w:szCs w:val="28"/>
        </w:rPr>
        <w:t>the majority of</w:t>
      </w:r>
      <w:proofErr w:type="gramEnd"/>
      <w:r>
        <w:rPr>
          <w:rFonts w:ascii="Times New Roman" w:eastAsia="Times New Roman" w:hAnsi="Times New Roman" w:cs="Times New Roman"/>
          <w:sz w:val="28"/>
          <w:szCs w:val="28"/>
        </w:rPr>
        <w:t xml:space="preserve"> tropical deforestation.</w:t>
      </w:r>
    </w:p>
    <w:p w14:paraId="00000003"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Laurel Sutherlin</w:t>
      </w:r>
    </w:p>
    <w:p w14:paraId="00000004"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w:t>
      </w:r>
      <w:r>
        <w:rPr>
          <w:rFonts w:ascii="Times New Roman" w:eastAsia="Times New Roman" w:hAnsi="Times New Roman" w:cs="Times New Roman"/>
          <w:sz w:val="28"/>
          <w:szCs w:val="28"/>
        </w:rPr>
        <w:t xml:space="preserve"> Laurel Sutherlin is the senior communications strategist for </w:t>
      </w:r>
      <w:hyperlink r:id="rId5">
        <w:r>
          <w:rPr>
            <w:rFonts w:ascii="Times New Roman" w:eastAsia="Times New Roman" w:hAnsi="Times New Roman" w:cs="Times New Roman"/>
            <w:color w:val="1155CC"/>
            <w:sz w:val="28"/>
            <w:szCs w:val="28"/>
            <w:u w:val="single"/>
          </w:rPr>
          <w:t>Rainforest Action Network</w:t>
        </w:r>
      </w:hyperlink>
      <w:r>
        <w:rPr>
          <w:rFonts w:ascii="Times New Roman" w:eastAsia="Times New Roman" w:hAnsi="Times New Roman" w:cs="Times New Roman"/>
          <w:sz w:val="28"/>
          <w:szCs w:val="28"/>
        </w:rPr>
        <w:t xml:space="preserve"> and a contributor to the </w:t>
      </w:r>
      <w:hyperlink r:id="rId6">
        <w:r>
          <w:rPr>
            <w:rFonts w:ascii="Times New Roman" w:eastAsia="Times New Roman" w:hAnsi="Times New Roman" w:cs="Times New Roman"/>
            <w:color w:val="1155CC"/>
            <w:sz w:val="28"/>
            <w:szCs w:val="28"/>
            <w:u w:val="single"/>
          </w:rPr>
          <w:t>Observatory</w:t>
        </w:r>
      </w:hyperlink>
      <w:r>
        <w:rPr>
          <w:rFonts w:ascii="Times New Roman" w:eastAsia="Times New Roman" w:hAnsi="Times New Roman" w:cs="Times New Roman"/>
          <w:sz w:val="28"/>
          <w:szCs w:val="28"/>
        </w:rPr>
        <w:t xml:space="preserve">. He is a lifelong environmental and human rights campaigner, naturalist, and outdoor educator </w:t>
      </w:r>
      <w:proofErr w:type="gramStart"/>
      <w:r>
        <w:rPr>
          <w:rFonts w:ascii="Times New Roman" w:eastAsia="Times New Roman" w:hAnsi="Times New Roman" w:cs="Times New Roman"/>
          <w:sz w:val="28"/>
          <w:szCs w:val="28"/>
        </w:rPr>
        <w:t>passionate</w:t>
      </w:r>
      <w:proofErr w:type="gramEnd"/>
      <w:r>
        <w:rPr>
          <w:rFonts w:ascii="Times New Roman" w:eastAsia="Times New Roman" w:hAnsi="Times New Roman" w:cs="Times New Roman"/>
          <w:sz w:val="28"/>
          <w:szCs w:val="28"/>
        </w:rPr>
        <w:t xml:space="preserve"> about birds and wild places. Follow him on Twitter </w:t>
      </w:r>
      <w:hyperlink r:id="rId7">
        <w:r>
          <w:rPr>
            <w:rFonts w:ascii="Times New Roman" w:eastAsia="Times New Roman" w:hAnsi="Times New Roman" w:cs="Times New Roman"/>
            <w:color w:val="1155CC"/>
            <w:sz w:val="28"/>
            <w:szCs w:val="28"/>
            <w:u w:val="single"/>
          </w:rPr>
          <w:t>@laurelsutherlin</w:t>
        </w:r>
      </w:hyperlink>
      <w:r>
        <w:rPr>
          <w:rFonts w:ascii="Times New Roman" w:eastAsia="Times New Roman" w:hAnsi="Times New Roman" w:cs="Times New Roman"/>
          <w:sz w:val="28"/>
          <w:szCs w:val="28"/>
        </w:rPr>
        <w:t>.</w:t>
      </w:r>
    </w:p>
    <w:p w14:paraId="00000005"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Independent Media Institute</w:t>
      </w:r>
    </w:p>
    <w:p w14:paraId="00000006" w14:textId="77777777" w:rsidR="00CC4DFB" w:rsidRDefault="0069000F">
      <w:pPr>
        <w:widowControl w:val="0"/>
        <w:spacing w:before="200" w:after="200"/>
        <w:rPr>
          <w:rFonts w:ascii="Times New Roman" w:eastAsia="Times New Roman" w:hAnsi="Times New Roman" w:cs="Times New Roman"/>
          <w:i/>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This article was produced by </w:t>
      </w:r>
      <w:hyperlink r:id="rId8">
        <w:r>
          <w:rPr>
            <w:rFonts w:ascii="Times New Roman" w:eastAsia="Times New Roman" w:hAnsi="Times New Roman" w:cs="Times New Roman"/>
            <w:i/>
            <w:color w:val="1155CC"/>
            <w:sz w:val="28"/>
            <w:szCs w:val="28"/>
            <w:u w:val="single"/>
          </w:rPr>
          <w:t>Earth | Food | Life</w:t>
        </w:r>
      </w:hyperlink>
      <w:r>
        <w:rPr>
          <w:rFonts w:ascii="Times New Roman" w:eastAsia="Times New Roman" w:hAnsi="Times New Roman" w:cs="Times New Roman"/>
          <w:i/>
          <w:sz w:val="28"/>
          <w:szCs w:val="28"/>
        </w:rPr>
        <w:t>, a project of the Independent Media Institute.</w:t>
      </w:r>
    </w:p>
    <w:p w14:paraId="00000007"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Climate Change, Environment, Activism, Indigenous Resistance, Human Rights, Social Justice, Asia/Indonesia, Asia/Malaysia, Asia/China, Asia/Japan, South America/Brazil, North America/United States, Europe, Africa, South America, Europe/The Netherlands, Opinion</w:t>
      </w:r>
    </w:p>
    <w:p w14:paraId="00000008"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Images (captions and credits </w:t>
      </w:r>
      <w:proofErr w:type="gramStart"/>
      <w:r>
        <w:rPr>
          <w:rFonts w:ascii="Times New Roman" w:eastAsia="Times New Roman" w:hAnsi="Times New Roman" w:cs="Times New Roman"/>
          <w:b/>
          <w:sz w:val="28"/>
          <w:szCs w:val="28"/>
        </w:rPr>
        <w:t>are listed</w:t>
      </w:r>
      <w:proofErr w:type="gramEnd"/>
      <w:r>
        <w:rPr>
          <w:rFonts w:ascii="Times New Roman" w:eastAsia="Times New Roman" w:hAnsi="Times New Roman" w:cs="Times New Roman"/>
          <w:b/>
          <w:sz w:val="28"/>
          <w:szCs w:val="28"/>
        </w:rPr>
        <w:t xml:space="preserve"> in each file’s description field):</w:t>
      </w:r>
    </w:p>
    <w:p w14:paraId="00000009" w14:textId="77777777" w:rsidR="00CC4DFB" w:rsidRDefault="0069000F">
      <w:pPr>
        <w:widowControl w:val="0"/>
        <w:spacing w:before="200" w:after="200"/>
        <w:rPr>
          <w:rFonts w:ascii="Times New Roman" w:eastAsia="Times New Roman" w:hAnsi="Times New Roman" w:cs="Times New Roman"/>
          <w:sz w:val="28"/>
          <w:szCs w:val="28"/>
        </w:rPr>
      </w:pPr>
      <w:hyperlink r:id="rId9">
        <w:r>
          <w:rPr>
            <w:rFonts w:ascii="Times New Roman" w:eastAsia="Times New Roman" w:hAnsi="Times New Roman" w:cs="Times New Roman"/>
            <w:color w:val="1155CC"/>
            <w:sz w:val="28"/>
            <w:szCs w:val="28"/>
            <w:u w:val="single"/>
          </w:rPr>
          <w:t>https://drive.google.com/drive/folders/13NNAgE3Bex78hwq069CMpx2FoLe7Xk_i?usp=sharing</w:t>
        </w:r>
      </w:hyperlink>
    </w:p>
    <w:p w14:paraId="0000000A" w14:textId="77777777" w:rsidR="00CC4DFB" w:rsidRDefault="00CC4DFB">
      <w:pPr>
        <w:widowControl w:val="0"/>
        <w:spacing w:before="200" w:after="200"/>
        <w:rPr>
          <w:rFonts w:ascii="Times New Roman" w:eastAsia="Times New Roman" w:hAnsi="Times New Roman" w:cs="Times New Roman"/>
          <w:b/>
          <w:sz w:val="28"/>
          <w:szCs w:val="28"/>
        </w:rPr>
      </w:pPr>
    </w:p>
    <w:p w14:paraId="0000000B"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Body:]</w:t>
      </w:r>
    </w:p>
    <w:p w14:paraId="0000000C"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global context where tropical rainforests play a </w:t>
      </w:r>
      <w:hyperlink r:id="rId10">
        <w:r>
          <w:rPr>
            <w:rFonts w:ascii="Times New Roman" w:eastAsia="Times New Roman" w:hAnsi="Times New Roman" w:cs="Times New Roman"/>
            <w:color w:val="1155CC"/>
            <w:sz w:val="28"/>
            <w:szCs w:val="28"/>
            <w:u w:val="single"/>
          </w:rPr>
          <w:t>critical role in biodiversity conservation</w:t>
        </w:r>
      </w:hyperlink>
      <w:r>
        <w:rPr>
          <w:rFonts w:ascii="Times New Roman" w:eastAsia="Times New Roman" w:hAnsi="Times New Roman" w:cs="Times New Roman"/>
          <w:sz w:val="28"/>
          <w:szCs w:val="28"/>
        </w:rPr>
        <w:t xml:space="preserve"> and climate regulation, these ecosystems are severely threatened by expanding agribusiness and logging activities. This poses significant risks to the environment, wildlife, and communities dependent on rainforests.</w:t>
      </w:r>
    </w:p>
    <w:p w14:paraId="0000000D"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Against the backdrop of escalating </w:t>
      </w:r>
      <w:hyperlink r:id="rId11">
        <w:r>
          <w:rPr>
            <w:rFonts w:ascii="Times New Roman" w:eastAsia="Times New Roman" w:hAnsi="Times New Roman" w:cs="Times New Roman"/>
            <w:color w:val="1155CC"/>
            <w:sz w:val="28"/>
            <w:szCs w:val="28"/>
            <w:u w:val="single"/>
          </w:rPr>
          <w:t>climate change impacts</w:t>
        </w:r>
      </w:hyperlink>
      <w:r>
        <w:rPr>
          <w:rFonts w:ascii="Times New Roman" w:eastAsia="Times New Roman" w:hAnsi="Times New Roman" w:cs="Times New Roman"/>
          <w:sz w:val="28"/>
          <w:szCs w:val="28"/>
        </w:rPr>
        <w:t xml:space="preserve">, urgent action is needed to prevent the collapse of these </w:t>
      </w:r>
      <w:hyperlink r:id="rId12">
        <w:r>
          <w:rPr>
            <w:rFonts w:ascii="Times New Roman" w:eastAsia="Times New Roman" w:hAnsi="Times New Roman" w:cs="Times New Roman"/>
            <w:color w:val="1155CC"/>
            <w:sz w:val="28"/>
            <w:szCs w:val="28"/>
            <w:u w:val="single"/>
          </w:rPr>
          <w:t>vital ecosystems</w:t>
        </w:r>
      </w:hyperlink>
      <w:r>
        <w:rPr>
          <w:rFonts w:ascii="Times New Roman" w:eastAsia="Times New Roman" w:hAnsi="Times New Roman" w:cs="Times New Roman"/>
          <w:sz w:val="28"/>
          <w:szCs w:val="28"/>
        </w:rPr>
        <w:t xml:space="preserve"> and address the injustices faced by </w:t>
      </w:r>
      <w:hyperlink r:id="rId13">
        <w:r>
          <w:rPr>
            <w:rFonts w:ascii="Times New Roman" w:eastAsia="Times New Roman" w:hAnsi="Times New Roman" w:cs="Times New Roman"/>
            <w:color w:val="1155CC"/>
            <w:sz w:val="28"/>
            <w:szCs w:val="28"/>
            <w:u w:val="single"/>
          </w:rPr>
          <w:t>Indigenous and local communities</w:t>
        </w:r>
      </w:hyperlink>
      <w:r>
        <w:rPr>
          <w:rFonts w:ascii="Times New Roman" w:eastAsia="Times New Roman" w:hAnsi="Times New Roman" w:cs="Times New Roman"/>
          <w:sz w:val="28"/>
          <w:szCs w:val="28"/>
        </w:rPr>
        <w:t xml:space="preserve"> and workers within the agricultural sector.</w:t>
      </w:r>
    </w:p>
    <w:p w14:paraId="0000000E"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w:t>
      </w:r>
      <w:hyperlink r:id="rId14">
        <w:r>
          <w:rPr>
            <w:rFonts w:ascii="Times New Roman" w:eastAsia="Times New Roman" w:hAnsi="Times New Roman" w:cs="Times New Roman"/>
            <w:color w:val="1155CC"/>
            <w:sz w:val="28"/>
            <w:szCs w:val="28"/>
            <w:u w:val="single"/>
          </w:rPr>
          <w:t>ratification</w:t>
        </w:r>
      </w:hyperlink>
      <w:r>
        <w:rPr>
          <w:rFonts w:ascii="Times New Roman" w:eastAsia="Times New Roman" w:hAnsi="Times New Roman" w:cs="Times New Roman"/>
          <w:sz w:val="28"/>
          <w:szCs w:val="28"/>
        </w:rPr>
        <w:t xml:space="preserve"> of the UN Global Biodiversity Framework in December 2022 marked a pivotal moment, signaling a collective commitment by 196 countries to reverse the decline in global biodiversity. However, financial institutions have historically failed to address their role in exacerbating the biodiversity crisis.</w:t>
      </w:r>
    </w:p>
    <w:p w14:paraId="0000000F"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2023 </w:t>
      </w:r>
      <w:hyperlink r:id="rId15">
        <w:r>
          <w:rPr>
            <w:rFonts w:ascii="Times New Roman" w:eastAsia="Times New Roman" w:hAnsi="Times New Roman" w:cs="Times New Roman"/>
            <w:color w:val="1155CC"/>
            <w:sz w:val="28"/>
            <w:szCs w:val="28"/>
            <w:u w:val="single"/>
          </w:rPr>
          <w:t>report by Forests and Finance</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a coalition of campaign, grassroots and research organizations that </w:t>
      </w:r>
      <w:hyperlink r:id="rId16">
        <w:r>
          <w:rPr>
            <w:rFonts w:ascii="Times New Roman" w:eastAsia="Times New Roman" w:hAnsi="Times New Roman" w:cs="Times New Roman"/>
            <w:color w:val="1155CC"/>
            <w:sz w:val="28"/>
            <w:szCs w:val="28"/>
            <w:highlight w:val="white"/>
            <w:u w:val="single"/>
          </w:rPr>
          <w:t>includes</w:t>
        </w:r>
      </w:hyperlink>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TuK</w:t>
      </w:r>
      <w:proofErr w:type="spellEnd"/>
      <w:r>
        <w:rPr>
          <w:rFonts w:ascii="Times New Roman" w:eastAsia="Times New Roman" w:hAnsi="Times New Roman" w:cs="Times New Roman"/>
          <w:sz w:val="28"/>
          <w:szCs w:val="28"/>
          <w:highlight w:val="white"/>
        </w:rPr>
        <w:t xml:space="preserve"> Indonesia, Profundo, Amazon Watch, </w:t>
      </w:r>
      <w:proofErr w:type="spellStart"/>
      <w:r>
        <w:rPr>
          <w:rFonts w:ascii="Times New Roman" w:eastAsia="Times New Roman" w:hAnsi="Times New Roman" w:cs="Times New Roman"/>
          <w:sz w:val="28"/>
          <w:szCs w:val="28"/>
          <w:highlight w:val="white"/>
        </w:rPr>
        <w:t>Repórter</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Brasil</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BankTrack</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Sahabat</w:t>
      </w:r>
      <w:proofErr w:type="spellEnd"/>
      <w:r>
        <w:rPr>
          <w:rFonts w:ascii="Times New Roman" w:eastAsia="Times New Roman" w:hAnsi="Times New Roman" w:cs="Times New Roman"/>
          <w:sz w:val="28"/>
          <w:szCs w:val="28"/>
          <w:highlight w:val="white"/>
        </w:rPr>
        <w:t xml:space="preserve"> Alam Malaysia, Friends of the Earth U.S.</w:t>
      </w:r>
      <w:r>
        <w:rPr>
          <w:rFonts w:ascii="Times New Roman" w:eastAsia="Times New Roman" w:hAnsi="Times New Roman" w:cs="Times New Roman"/>
          <w:sz w:val="28"/>
          <w:szCs w:val="28"/>
        </w:rPr>
        <w:t xml:space="preserve">, and my organization, Rainforest Action Network—sheds light on the extensive financial support provided to </w:t>
      </w:r>
      <w:hyperlink r:id="rId17">
        <w:r>
          <w:rPr>
            <w:rFonts w:ascii="Times New Roman" w:eastAsia="Times New Roman" w:hAnsi="Times New Roman" w:cs="Times New Roman"/>
            <w:color w:val="1155CC"/>
            <w:sz w:val="28"/>
            <w:szCs w:val="28"/>
            <w:u w:val="single"/>
          </w:rPr>
          <w:t>sectors responsible</w:t>
        </w:r>
      </w:hyperlink>
      <w:r>
        <w:rPr>
          <w:rFonts w:ascii="Times New Roman" w:eastAsia="Times New Roman" w:hAnsi="Times New Roman" w:cs="Times New Roman"/>
          <w:sz w:val="28"/>
          <w:szCs w:val="28"/>
        </w:rPr>
        <w:t xml:space="preserve"> for tropical deforestation, including beef, palm oil, pulp and paper, rubber, soy, and timber. “From January 2016 to September 2023, banks provided at least $307 billion in credit to these operations,” </w:t>
      </w:r>
      <w:hyperlink r:id="rId18">
        <w:r>
          <w:rPr>
            <w:rFonts w:ascii="Times New Roman" w:eastAsia="Times New Roman" w:hAnsi="Times New Roman" w:cs="Times New Roman"/>
            <w:color w:val="1155CC"/>
            <w:sz w:val="28"/>
            <w:szCs w:val="28"/>
            <w:u w:val="single"/>
          </w:rPr>
          <w:t>states</w:t>
        </w:r>
      </w:hyperlink>
      <w:r>
        <w:rPr>
          <w:rFonts w:ascii="Times New Roman" w:eastAsia="Times New Roman" w:hAnsi="Times New Roman" w:cs="Times New Roman"/>
          <w:sz w:val="28"/>
          <w:szCs w:val="28"/>
        </w:rPr>
        <w:t xml:space="preserve"> the report, while institutional investors held approximately $38 billion in related shares and bonds.</w:t>
      </w:r>
    </w:p>
    <w:p w14:paraId="00000010"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Despite fluctuations in financial flows, there has been no discernible downward trend in financing forest-risk commodity production. Alarmingly, the analysis of more than </w:t>
      </w:r>
      <w:proofErr w:type="gramStart"/>
      <w:r>
        <w:rPr>
          <w:rFonts w:ascii="Times New Roman" w:eastAsia="Times New Roman" w:hAnsi="Times New Roman" w:cs="Times New Roman"/>
          <w:sz w:val="28"/>
          <w:szCs w:val="28"/>
        </w:rPr>
        <w:t>100</w:t>
      </w:r>
      <w:proofErr w:type="gramEnd"/>
      <w:r>
        <w:rPr>
          <w:rFonts w:ascii="Times New Roman" w:eastAsia="Times New Roman" w:hAnsi="Times New Roman" w:cs="Times New Roman"/>
          <w:sz w:val="28"/>
          <w:szCs w:val="28"/>
        </w:rPr>
        <w:t xml:space="preserve"> financial </w:t>
      </w:r>
      <w:proofErr w:type="spellStart"/>
      <w:proofErr w:type="gramStart"/>
      <w:r>
        <w:rPr>
          <w:rFonts w:ascii="Times New Roman" w:eastAsia="Times New Roman" w:hAnsi="Times New Roman" w:cs="Times New Roman"/>
          <w:sz w:val="28"/>
          <w:szCs w:val="28"/>
        </w:rPr>
        <w:t>institutionsʼ</w:t>
      </w:r>
      <w:proofErr w:type="spellEnd"/>
      <w:proofErr w:type="gramEnd"/>
      <w:r>
        <w:rPr>
          <w:rFonts w:ascii="Times New Roman" w:eastAsia="Times New Roman" w:hAnsi="Times New Roman" w:cs="Times New Roman"/>
          <w:sz w:val="28"/>
          <w:szCs w:val="28"/>
        </w:rPr>
        <w:t xml:space="preserve"> policies in 2023 revealed grossly inadequate safeguards against deforestation and its associated social and environmental impacts. The average policy score was just 17 percent, </w:t>
      </w:r>
      <w:hyperlink r:id="rId19">
        <w:r>
          <w:rPr>
            <w:rFonts w:ascii="Times New Roman" w:eastAsia="Times New Roman" w:hAnsi="Times New Roman" w:cs="Times New Roman"/>
            <w:color w:val="1155CC"/>
            <w:sz w:val="28"/>
            <w:szCs w:val="28"/>
            <w:u w:val="single"/>
          </w:rPr>
          <w:t>according</w:t>
        </w:r>
      </w:hyperlink>
      <w:r>
        <w:rPr>
          <w:rFonts w:ascii="Times New Roman" w:eastAsia="Times New Roman" w:hAnsi="Times New Roman" w:cs="Times New Roman"/>
          <w:sz w:val="28"/>
          <w:szCs w:val="28"/>
        </w:rPr>
        <w:t xml:space="preserve"> to the report.</w:t>
      </w:r>
    </w:p>
    <w:p w14:paraId="00000011"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Entities like JBS, Cargill, Royal Golden Eagle, and </w:t>
      </w:r>
      <w:proofErr w:type="spellStart"/>
      <w:r>
        <w:rPr>
          <w:rFonts w:ascii="Times New Roman" w:eastAsia="Times New Roman" w:hAnsi="Times New Roman" w:cs="Times New Roman"/>
          <w:sz w:val="28"/>
          <w:szCs w:val="28"/>
        </w:rPr>
        <w:t>Sinar</w:t>
      </w:r>
      <w:proofErr w:type="spellEnd"/>
      <w:r>
        <w:rPr>
          <w:rFonts w:ascii="Times New Roman" w:eastAsia="Times New Roman" w:hAnsi="Times New Roman" w:cs="Times New Roman"/>
          <w:sz w:val="28"/>
          <w:szCs w:val="28"/>
        </w:rPr>
        <w:t xml:space="preserve"> Mas Group exemplify the egregious behaviors tolerated and enabled by banks and investors.</w:t>
      </w:r>
    </w:p>
    <w:p w14:paraId="00000012"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Demands to Correct a Systemic Issue</w:t>
      </w:r>
    </w:p>
    <w:p w14:paraId="00000013"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report by </w:t>
      </w:r>
      <w:hyperlink r:id="rId20">
        <w:r>
          <w:rPr>
            <w:rFonts w:ascii="Times New Roman" w:eastAsia="Times New Roman" w:hAnsi="Times New Roman" w:cs="Times New Roman"/>
            <w:color w:val="1155CC"/>
            <w:sz w:val="28"/>
            <w:szCs w:val="28"/>
            <w:u w:val="single"/>
          </w:rPr>
          <w:t>Forests and Finance</w:t>
        </w:r>
      </w:hyperlink>
      <w:r>
        <w:rPr>
          <w:rFonts w:ascii="Times New Roman" w:eastAsia="Times New Roman" w:hAnsi="Times New Roman" w:cs="Times New Roman"/>
          <w:sz w:val="28"/>
          <w:szCs w:val="28"/>
        </w:rPr>
        <w:t xml:space="preserve"> urged governments and financial institutions to adopt and enact five principles:</w:t>
      </w:r>
    </w:p>
    <w:p w14:paraId="00000014" w14:textId="77777777" w:rsidR="00CC4DFB" w:rsidRDefault="0069000F">
      <w:pPr>
        <w:widowControl w:val="0"/>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Halt and reverse biodiversity </w:t>
      </w:r>
      <w:proofErr w:type="gramStart"/>
      <w:r>
        <w:rPr>
          <w:rFonts w:ascii="Times New Roman" w:eastAsia="Times New Roman" w:hAnsi="Times New Roman" w:cs="Times New Roman"/>
          <w:sz w:val="28"/>
          <w:szCs w:val="28"/>
        </w:rPr>
        <w:t>loss</w:t>
      </w:r>
      <w:proofErr w:type="gramEnd"/>
    </w:p>
    <w:p w14:paraId="00000015" w14:textId="77777777" w:rsidR="00CC4DFB" w:rsidRDefault="0069000F">
      <w:pPr>
        <w:widowControl w:val="0"/>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Uphold and prioritize the rights of Indigenous peoples, women, and local </w:t>
      </w:r>
      <w:proofErr w:type="gramStart"/>
      <w:r>
        <w:rPr>
          <w:rFonts w:ascii="Times New Roman" w:eastAsia="Times New Roman" w:hAnsi="Times New Roman" w:cs="Times New Roman"/>
          <w:sz w:val="28"/>
          <w:szCs w:val="28"/>
        </w:rPr>
        <w:t>communities</w:t>
      </w:r>
      <w:proofErr w:type="gramEnd"/>
    </w:p>
    <w:p w14:paraId="00000016" w14:textId="77777777" w:rsidR="00CC4DFB" w:rsidRDefault="0069000F">
      <w:pPr>
        <w:widowControl w:val="0"/>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Facilitate a just </w:t>
      </w:r>
      <w:proofErr w:type="gramStart"/>
      <w:r>
        <w:rPr>
          <w:rFonts w:ascii="Times New Roman" w:eastAsia="Times New Roman" w:hAnsi="Times New Roman" w:cs="Times New Roman"/>
          <w:sz w:val="28"/>
          <w:szCs w:val="28"/>
        </w:rPr>
        <w:t>transition</w:t>
      </w:r>
      <w:proofErr w:type="gramEnd"/>
    </w:p>
    <w:p w14:paraId="00000017" w14:textId="77777777" w:rsidR="00CC4DFB" w:rsidRDefault="0069000F">
      <w:pPr>
        <w:widowControl w:val="0"/>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Safeguard ecosystem </w:t>
      </w:r>
      <w:proofErr w:type="gramStart"/>
      <w:r>
        <w:rPr>
          <w:rFonts w:ascii="Times New Roman" w:eastAsia="Times New Roman" w:hAnsi="Times New Roman" w:cs="Times New Roman"/>
          <w:sz w:val="28"/>
          <w:szCs w:val="28"/>
        </w:rPr>
        <w:t>integrity</w:t>
      </w:r>
      <w:proofErr w:type="gramEnd"/>
    </w:p>
    <w:p w14:paraId="00000018" w14:textId="77777777" w:rsidR="00CC4DFB" w:rsidRDefault="0069000F">
      <w:pPr>
        <w:widowControl w:val="0"/>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Harmonize institutional objectives across sectors, issues, and </w:t>
      </w:r>
      <w:proofErr w:type="gramStart"/>
      <w:r>
        <w:rPr>
          <w:rFonts w:ascii="Times New Roman" w:eastAsia="Times New Roman" w:hAnsi="Times New Roman" w:cs="Times New Roman"/>
          <w:sz w:val="28"/>
          <w:szCs w:val="28"/>
        </w:rPr>
        <w:t>instruments</w:t>
      </w:r>
      <w:proofErr w:type="gramEnd"/>
    </w:p>
    <w:p w14:paraId="00000019"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Immediate action is crucial to combat </w:t>
      </w:r>
      <w:proofErr w:type="gramStart"/>
      <w:r>
        <w:rPr>
          <w:rFonts w:ascii="Times New Roman" w:eastAsia="Times New Roman" w:hAnsi="Times New Roman" w:cs="Times New Roman"/>
          <w:sz w:val="28"/>
          <w:szCs w:val="28"/>
        </w:rPr>
        <w:t>the climate</w:t>
      </w:r>
      <w:proofErr w:type="gramEnd"/>
      <w:r>
        <w:rPr>
          <w:rFonts w:ascii="Times New Roman" w:eastAsia="Times New Roman" w:hAnsi="Times New Roman" w:cs="Times New Roman"/>
          <w:sz w:val="28"/>
          <w:szCs w:val="28"/>
        </w:rPr>
        <w:t xml:space="preserve"> and biodiversity crises. The report urges financial institutions to align their activities with sustainability goals, enact robust environmental and social policies, and ensure transparency and accountability. By holding the financial sector accountable for its role in enabling social and environmental harm, we can work toward preserving biodiversity and mitigating the impacts of climate change for current and future generations.</w:t>
      </w:r>
    </w:p>
    <w:p w14:paraId="0000001A"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Notable Progress</w:t>
      </w:r>
    </w:p>
    <w:p w14:paraId="0000001B"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hyperlink r:id="rId21">
        <w:r>
          <w:rPr>
            <w:rFonts w:ascii="Times New Roman" w:eastAsia="Times New Roman" w:hAnsi="Times New Roman" w:cs="Times New Roman"/>
            <w:color w:val="1155CC"/>
            <w:sz w:val="28"/>
            <w:szCs w:val="28"/>
            <w:u w:val="single"/>
          </w:rPr>
          <w:t>Forests and Finance</w:t>
        </w:r>
      </w:hyperlink>
      <w:r>
        <w:rPr>
          <w:rFonts w:ascii="Times New Roman" w:eastAsia="Times New Roman" w:hAnsi="Times New Roman" w:cs="Times New Roman"/>
          <w:sz w:val="28"/>
          <w:szCs w:val="28"/>
        </w:rPr>
        <w:t xml:space="preserve"> report highlights the significant progress of tropical forest countries and key import and financial jurisdictions in promoting sustainable financial practices and combating deforestation. Brazil, Indonesia, Malaysia, the United States, and the European Union have all taken notable steps toward integrating environmental, social, and governance (ESG) considerations into their financial systems.</w:t>
      </w:r>
    </w:p>
    <w:p w14:paraId="0000001C"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Brazil stands out for </w:t>
      </w:r>
      <w:hyperlink r:id="rId22">
        <w:r>
          <w:rPr>
            <w:rFonts w:ascii="Times New Roman" w:eastAsia="Times New Roman" w:hAnsi="Times New Roman" w:cs="Times New Roman"/>
            <w:color w:val="1155CC"/>
            <w:sz w:val="28"/>
            <w:szCs w:val="28"/>
            <w:u w:val="single"/>
          </w:rPr>
          <w:t>excluding industrial livestock activities</w:t>
        </w:r>
      </w:hyperlink>
      <w:r>
        <w:rPr>
          <w:rFonts w:ascii="Times New Roman" w:eastAsia="Times New Roman" w:hAnsi="Times New Roman" w:cs="Times New Roman"/>
          <w:sz w:val="28"/>
          <w:szCs w:val="28"/>
        </w:rPr>
        <w:t xml:space="preserve"> from sustainable </w:t>
      </w:r>
      <w:hyperlink r:id="rId23">
        <w:r>
          <w:rPr>
            <w:rFonts w:ascii="Times New Roman" w:eastAsia="Times New Roman" w:hAnsi="Times New Roman" w:cs="Times New Roman"/>
            <w:color w:val="1155CC"/>
            <w:sz w:val="28"/>
            <w:szCs w:val="28"/>
            <w:u w:val="single"/>
          </w:rPr>
          <w:t>sovereign bonds</w:t>
        </w:r>
      </w:hyperlink>
      <w:r>
        <w:rPr>
          <w:rFonts w:ascii="Times New Roman" w:eastAsia="Times New Roman" w:hAnsi="Times New Roman" w:cs="Times New Roman"/>
          <w:sz w:val="28"/>
          <w:szCs w:val="28"/>
        </w:rPr>
        <w:t xml:space="preserve"> and for being the first country to commit to integrating the International Sustainability Standards Board’s </w:t>
      </w:r>
      <w:hyperlink r:id="rId24">
        <w:r>
          <w:rPr>
            <w:rFonts w:ascii="Times New Roman" w:eastAsia="Times New Roman" w:hAnsi="Times New Roman" w:cs="Times New Roman"/>
            <w:color w:val="1155CC"/>
            <w:sz w:val="28"/>
            <w:szCs w:val="28"/>
            <w:u w:val="single"/>
          </w:rPr>
          <w:t>IFRS Sustainability Disclosure Standards</w:t>
        </w:r>
      </w:hyperlink>
      <w:r>
        <w:rPr>
          <w:rFonts w:ascii="Times New Roman" w:eastAsia="Times New Roman" w:hAnsi="Times New Roman" w:cs="Times New Roman"/>
          <w:sz w:val="28"/>
          <w:szCs w:val="28"/>
        </w:rPr>
        <w:t xml:space="preserve"> into its regulatory framework by 2026. Implementing these standards will help bolster Brazilian capital markets by amplifying transparency in sustainability-related risks and opportunities. This, in turn, will ensure that companies attract capital and foster global investments that </w:t>
      </w:r>
      <w:proofErr w:type="gramStart"/>
      <w:r>
        <w:rPr>
          <w:rFonts w:ascii="Times New Roman" w:eastAsia="Times New Roman" w:hAnsi="Times New Roman" w:cs="Times New Roman"/>
          <w:sz w:val="28"/>
          <w:szCs w:val="28"/>
        </w:rPr>
        <w:t>are aligned</w:t>
      </w:r>
      <w:proofErr w:type="gramEnd"/>
      <w:r>
        <w:rPr>
          <w:rFonts w:ascii="Times New Roman" w:eastAsia="Times New Roman" w:hAnsi="Times New Roman" w:cs="Times New Roman"/>
          <w:sz w:val="28"/>
          <w:szCs w:val="28"/>
        </w:rPr>
        <w:t xml:space="preserve"> to meeting the goals of nature protection and sustainable development.</w:t>
      </w:r>
    </w:p>
    <w:p w14:paraId="0000001D"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Another initiative that supports sustainability is the implementation of green taxonomies. These taxonomies are meant to simplify guidelines regarding activities that support decarbonization objectives, including efforts to curtail deforestation and environmental degradation. This can bolster financiers’ confidence in investing in projects that move the needle toward a low-carbon and climate-resilient economy.</w:t>
      </w:r>
    </w:p>
    <w:p w14:paraId="0000001E"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Indonesia introduced its </w:t>
      </w:r>
      <w:hyperlink r:id="rId25">
        <w:r>
          <w:rPr>
            <w:rFonts w:ascii="Times New Roman" w:eastAsia="Times New Roman" w:hAnsi="Times New Roman" w:cs="Times New Roman"/>
            <w:color w:val="1155CC"/>
            <w:sz w:val="28"/>
            <w:szCs w:val="28"/>
            <w:u w:val="single"/>
          </w:rPr>
          <w:t>Green Taxonomy</w:t>
        </w:r>
      </w:hyperlink>
      <w:r>
        <w:rPr>
          <w:rFonts w:ascii="Times New Roman" w:eastAsia="Times New Roman" w:hAnsi="Times New Roman" w:cs="Times New Roman"/>
          <w:sz w:val="28"/>
          <w:szCs w:val="28"/>
        </w:rPr>
        <w:t xml:space="preserve"> in January 2022 to expedite financing for sustainable sectors. “Indonesia’s joint targets under the </w:t>
      </w:r>
      <w:hyperlink r:id="rId26">
        <w:r>
          <w:rPr>
            <w:rFonts w:ascii="Times New Roman" w:eastAsia="Times New Roman" w:hAnsi="Times New Roman" w:cs="Times New Roman"/>
            <w:color w:val="1155CC"/>
            <w:sz w:val="28"/>
            <w:szCs w:val="28"/>
            <w:u w:val="single"/>
          </w:rPr>
          <w:t>Just Energy Transition Partnership</w:t>
        </w:r>
      </w:hyperlink>
      <w:r>
        <w:rPr>
          <w:rFonts w:ascii="Times New Roman" w:eastAsia="Times New Roman" w:hAnsi="Times New Roman" w:cs="Times New Roman"/>
          <w:sz w:val="28"/>
          <w:szCs w:val="28"/>
        </w:rPr>
        <w:t xml:space="preserve"> (JETP) include capping power sector emissions to 290 MT by 2030 and reaching net zero by 2050,” </w:t>
      </w:r>
      <w:hyperlink r:id="rId27">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Luthfyana</w:t>
      </w:r>
      <w:proofErr w:type="spellEnd"/>
      <w:r>
        <w:rPr>
          <w:rFonts w:ascii="Times New Roman" w:eastAsia="Times New Roman" w:hAnsi="Times New Roman" w:cs="Times New Roman"/>
          <w:sz w:val="28"/>
          <w:szCs w:val="28"/>
        </w:rPr>
        <w:t xml:space="preserve"> Kartika Larasati and Tiza </w:t>
      </w:r>
      <w:proofErr w:type="spellStart"/>
      <w:r>
        <w:rPr>
          <w:rFonts w:ascii="Times New Roman" w:eastAsia="Times New Roman" w:hAnsi="Times New Roman" w:cs="Times New Roman"/>
          <w:sz w:val="28"/>
          <w:szCs w:val="28"/>
        </w:rPr>
        <w:t>Mafira</w:t>
      </w:r>
      <w:proofErr w:type="spellEnd"/>
      <w:r>
        <w:rPr>
          <w:rFonts w:ascii="Times New Roman" w:eastAsia="Times New Roman" w:hAnsi="Times New Roman" w:cs="Times New Roman"/>
          <w:sz w:val="28"/>
          <w:szCs w:val="28"/>
        </w:rPr>
        <w:t xml:space="preserve"> of the Climate Policy Initiative, an independent nonprofit research group </w:t>
      </w:r>
      <w:r>
        <w:rPr>
          <w:rFonts w:ascii="Times New Roman" w:eastAsia="Times New Roman" w:hAnsi="Times New Roman" w:cs="Times New Roman"/>
          <w:sz w:val="28"/>
          <w:szCs w:val="28"/>
        </w:rPr>
        <w:lastRenderedPageBreak/>
        <w:t>based in San Francisco, in October 2023.</w:t>
      </w:r>
    </w:p>
    <w:p w14:paraId="0000001F"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achieve these [targets], phasing out coal-fired power plants while accelerating the deployment of renewable energy sources is necessary. As financiers are now reluctant to finance coal, a transition taxonomy defines measurable parameters within which coal investment is allowed in order to facilitate early coal decommissioning,” </w:t>
      </w:r>
      <w:hyperlink r:id="rId28">
        <w:r>
          <w:rPr>
            <w:rFonts w:ascii="Times New Roman" w:eastAsia="Times New Roman" w:hAnsi="Times New Roman" w:cs="Times New Roman"/>
            <w:color w:val="1155CC"/>
            <w:sz w:val="28"/>
            <w:szCs w:val="28"/>
            <w:u w:val="single"/>
          </w:rPr>
          <w:t>wrote</w:t>
        </w:r>
      </w:hyperlink>
      <w:r>
        <w:rPr>
          <w:rFonts w:ascii="Times New Roman" w:eastAsia="Times New Roman" w:hAnsi="Times New Roman" w:cs="Times New Roman"/>
          <w:sz w:val="28"/>
          <w:szCs w:val="28"/>
        </w:rPr>
        <w:t xml:space="preserve"> Larasati and </w:t>
      </w:r>
      <w:proofErr w:type="spellStart"/>
      <w:r>
        <w:rPr>
          <w:rFonts w:ascii="Times New Roman" w:eastAsia="Times New Roman" w:hAnsi="Times New Roman" w:cs="Times New Roman"/>
          <w:sz w:val="28"/>
          <w:szCs w:val="28"/>
        </w:rPr>
        <w:t>Mafira</w:t>
      </w:r>
      <w:proofErr w:type="spellEnd"/>
      <w:r>
        <w:rPr>
          <w:rFonts w:ascii="Times New Roman" w:eastAsia="Times New Roman" w:hAnsi="Times New Roman" w:cs="Times New Roman"/>
          <w:sz w:val="28"/>
          <w:szCs w:val="28"/>
        </w:rPr>
        <w:t>.</w:t>
      </w:r>
    </w:p>
    <w:p w14:paraId="00000020"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Malaysia implemented the Value-based Intermediation Financing and Investment Impact Assessment Framework (</w:t>
      </w:r>
      <w:hyperlink r:id="rId29">
        <w:r>
          <w:rPr>
            <w:rFonts w:ascii="Times New Roman" w:eastAsia="Times New Roman" w:hAnsi="Times New Roman" w:cs="Times New Roman"/>
            <w:color w:val="1155CC"/>
            <w:sz w:val="28"/>
            <w:szCs w:val="28"/>
            <w:u w:val="single"/>
          </w:rPr>
          <w:t>VBIAF</w:t>
        </w:r>
      </w:hyperlink>
      <w:r>
        <w:rPr>
          <w:rFonts w:ascii="Times New Roman" w:eastAsia="Times New Roman" w:hAnsi="Times New Roman" w:cs="Times New Roman"/>
          <w:sz w:val="28"/>
          <w:szCs w:val="28"/>
        </w:rPr>
        <w:t xml:space="preserve">) in November 2019 and issued the Climate Change and </w:t>
      </w:r>
      <w:hyperlink r:id="rId30">
        <w:r>
          <w:rPr>
            <w:rFonts w:ascii="Times New Roman" w:eastAsia="Times New Roman" w:hAnsi="Times New Roman" w:cs="Times New Roman"/>
            <w:color w:val="1155CC"/>
            <w:sz w:val="28"/>
            <w:szCs w:val="28"/>
            <w:u w:val="single"/>
          </w:rPr>
          <w:t>Principle-based Taxonomy</w:t>
        </w:r>
      </w:hyperlink>
      <w:r>
        <w:rPr>
          <w:rFonts w:ascii="Times New Roman" w:eastAsia="Times New Roman" w:hAnsi="Times New Roman" w:cs="Times New Roman"/>
          <w:sz w:val="28"/>
          <w:szCs w:val="28"/>
        </w:rPr>
        <w:t xml:space="preserve"> in 2021 to guide Islamic financial institutions.</w:t>
      </w:r>
    </w:p>
    <w:p w14:paraId="00000021"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Meanwhile, </w:t>
      </w:r>
      <w:hyperlink r:id="rId31">
        <w:r>
          <w:rPr>
            <w:rFonts w:ascii="Times New Roman" w:eastAsia="Times New Roman" w:hAnsi="Times New Roman" w:cs="Times New Roman"/>
            <w:color w:val="1155CC"/>
            <w:sz w:val="28"/>
            <w:szCs w:val="28"/>
            <w:u w:val="single"/>
          </w:rPr>
          <w:t xml:space="preserve">a </w:t>
        </w:r>
      </w:hyperlink>
      <w:hyperlink r:id="rId32">
        <w:r>
          <w:rPr>
            <w:rFonts w:ascii="Times New Roman" w:eastAsia="Times New Roman" w:hAnsi="Times New Roman" w:cs="Times New Roman"/>
            <w:color w:val="1155CC"/>
            <w:sz w:val="28"/>
            <w:szCs w:val="28"/>
            <w:u w:val="single"/>
          </w:rPr>
          <w:t>March 2024</w:t>
        </w:r>
      </w:hyperlink>
      <w:hyperlink r:id="rId33">
        <w:r>
          <w:rPr>
            <w:rFonts w:ascii="Times New Roman" w:eastAsia="Times New Roman" w:hAnsi="Times New Roman" w:cs="Times New Roman"/>
            <w:color w:val="1155CC"/>
            <w:sz w:val="28"/>
            <w:szCs w:val="28"/>
            <w:u w:val="single"/>
          </w:rPr>
          <w:t xml:space="preserve"> Securities and Exchange Commission (SEC) climate disclosure ruling</w:t>
        </w:r>
      </w:hyperlink>
      <w:r>
        <w:rPr>
          <w:rFonts w:ascii="Times New Roman" w:eastAsia="Times New Roman" w:hAnsi="Times New Roman" w:cs="Times New Roman"/>
          <w:sz w:val="28"/>
          <w:szCs w:val="28"/>
        </w:rPr>
        <w:t xml:space="preserve"> seems to be a step in the right direction toward the U.S. managing its climate risk, even though the move remains inadequate to effectively protect the world’s forests. On the procurement side, the new </w:t>
      </w:r>
      <w:hyperlink r:id="rId34">
        <w:r>
          <w:rPr>
            <w:rFonts w:ascii="Times New Roman" w:eastAsia="Times New Roman" w:hAnsi="Times New Roman" w:cs="Times New Roman"/>
            <w:color w:val="1155CC"/>
            <w:sz w:val="28"/>
            <w:szCs w:val="28"/>
            <w:u w:val="single"/>
          </w:rPr>
          <w:t>EU Deforestation Regulation</w:t>
        </w:r>
      </w:hyperlink>
      <w:r>
        <w:rPr>
          <w:rFonts w:ascii="Times New Roman" w:eastAsia="Times New Roman" w:hAnsi="Times New Roman" w:cs="Times New Roman"/>
          <w:sz w:val="28"/>
          <w:szCs w:val="28"/>
        </w:rPr>
        <w:t>, expected to take effect on December 30, 2024, provides a potentially powerful new tool for achieving supply chain traceability and transparency.</w:t>
      </w:r>
    </w:p>
    <w:p w14:paraId="00000022"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European Union also approved new </w:t>
      </w:r>
      <w:hyperlink r:id="rId35">
        <w:r>
          <w:rPr>
            <w:rFonts w:ascii="Times New Roman" w:eastAsia="Times New Roman" w:hAnsi="Times New Roman" w:cs="Times New Roman"/>
            <w:color w:val="1155CC"/>
            <w:sz w:val="28"/>
            <w:szCs w:val="28"/>
            <w:u w:val="single"/>
          </w:rPr>
          <w:t>EU Taxonomy criteria</w:t>
        </w:r>
      </w:hyperlink>
      <w:r>
        <w:rPr>
          <w:rFonts w:ascii="Times New Roman" w:eastAsia="Times New Roman" w:hAnsi="Times New Roman" w:cs="Times New Roman"/>
          <w:sz w:val="28"/>
          <w:szCs w:val="28"/>
        </w:rPr>
        <w:t xml:space="preserve"> in 2023 focusing on biodiversity protection and ecosystem restoration, despite criticism that it judged </w:t>
      </w:r>
      <w:hyperlink r:id="rId36">
        <w:r>
          <w:rPr>
            <w:rFonts w:ascii="Times New Roman" w:eastAsia="Times New Roman" w:hAnsi="Times New Roman" w:cs="Times New Roman"/>
            <w:color w:val="1155CC"/>
            <w:sz w:val="28"/>
            <w:szCs w:val="28"/>
            <w:u w:val="single"/>
          </w:rPr>
          <w:t>harmful sectors</w:t>
        </w:r>
      </w:hyperlink>
      <w:r>
        <w:rPr>
          <w:rFonts w:ascii="Times New Roman" w:eastAsia="Times New Roman" w:hAnsi="Times New Roman" w:cs="Times New Roman"/>
          <w:sz w:val="28"/>
          <w:szCs w:val="28"/>
        </w:rPr>
        <w:t xml:space="preserve"> like forestry and bioenergy to be environmentally sustainable economic activities.</w:t>
      </w:r>
    </w:p>
    <w:p w14:paraId="00000023"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Forest-Risk Credit Trends</w:t>
      </w:r>
    </w:p>
    <w:p w14:paraId="00000024"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hyperlink r:id="rId37">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 xml:space="preserve"> revealed that at least $307 billion in credit had been directed to forest-risk sectors from 2016 to September 2023. The beef sector dominated South America, while palm oil led in Southeast Asia and rubber in Central and West Africa. Primary beneficiaries included </w:t>
      </w:r>
      <w:proofErr w:type="spellStart"/>
      <w:r>
        <w:rPr>
          <w:rFonts w:ascii="Times New Roman" w:eastAsia="Times New Roman" w:hAnsi="Times New Roman" w:cs="Times New Roman"/>
          <w:sz w:val="28"/>
          <w:szCs w:val="28"/>
        </w:rPr>
        <w:t>agro</w:t>
      </w:r>
      <w:proofErr w:type="spellEnd"/>
      <w:r>
        <w:rPr>
          <w:rFonts w:ascii="Times New Roman" w:eastAsia="Times New Roman" w:hAnsi="Times New Roman" w:cs="Times New Roman"/>
          <w:sz w:val="28"/>
          <w:szCs w:val="28"/>
        </w:rPr>
        <w:t>-commodity traders and companies with significant environmental and social violations.</w:t>
      </w:r>
    </w:p>
    <w:p w14:paraId="00000025"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progress has </w:t>
      </w:r>
      <w:proofErr w:type="gramStart"/>
      <w:r>
        <w:rPr>
          <w:rFonts w:ascii="Times New Roman" w:eastAsia="Times New Roman" w:hAnsi="Times New Roman" w:cs="Times New Roman"/>
          <w:sz w:val="28"/>
          <w:szCs w:val="28"/>
        </w:rPr>
        <w:t>been made</w:t>
      </w:r>
      <w:proofErr w:type="gramEnd"/>
      <w:r>
        <w:rPr>
          <w:rFonts w:ascii="Times New Roman" w:eastAsia="Times New Roman" w:hAnsi="Times New Roman" w:cs="Times New Roman"/>
          <w:sz w:val="28"/>
          <w:szCs w:val="28"/>
        </w:rPr>
        <w:t>, heightened attention and enhanced due diligence procedures are needed to address associated ESG risks and promote sustainable financial practices to combat deforestation and environmental degradation.</w:t>
      </w:r>
    </w:p>
    <w:p w14:paraId="00000026"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Big corporations launched the </w:t>
      </w:r>
      <w:hyperlink r:id="rId38">
        <w:r>
          <w:rPr>
            <w:rFonts w:ascii="Times New Roman" w:eastAsia="Times New Roman" w:hAnsi="Times New Roman" w:cs="Times New Roman"/>
            <w:color w:val="1155CC"/>
            <w:sz w:val="28"/>
            <w:szCs w:val="28"/>
            <w:u w:val="single"/>
          </w:rPr>
          <w:t>Taskforce for Nature-related Financial Disclosures</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(TNFD) in June 2021 to guide businesses in reporting nature-related dependencies. However, civil society organizations have repeatedly raised </w:t>
      </w:r>
      <w:hyperlink r:id="rId39">
        <w:r>
          <w:rPr>
            <w:rFonts w:ascii="Times New Roman" w:eastAsia="Times New Roman" w:hAnsi="Times New Roman" w:cs="Times New Roman"/>
            <w:color w:val="1155CC"/>
            <w:sz w:val="28"/>
            <w:szCs w:val="28"/>
            <w:u w:val="single"/>
          </w:rPr>
          <w:t>concerns</w:t>
        </w:r>
      </w:hyperlink>
      <w:r>
        <w:rPr>
          <w:rFonts w:ascii="Times New Roman" w:eastAsia="Times New Roman" w:hAnsi="Times New Roman" w:cs="Times New Roman"/>
          <w:sz w:val="28"/>
          <w:szCs w:val="28"/>
        </w:rPr>
        <w:t xml:space="preserve"> about the task force’s development, composition, approach, and potential for </w:t>
      </w:r>
      <w:hyperlink r:id="rId40">
        <w:r>
          <w:rPr>
            <w:rFonts w:ascii="Times New Roman" w:eastAsia="Times New Roman" w:hAnsi="Times New Roman" w:cs="Times New Roman"/>
            <w:color w:val="1155CC"/>
            <w:sz w:val="28"/>
            <w:szCs w:val="28"/>
            <w:u w:val="single"/>
          </w:rPr>
          <w:t>greenwashing</w:t>
        </w:r>
      </w:hyperlink>
      <w:r>
        <w:rPr>
          <w:rFonts w:ascii="Times New Roman" w:eastAsia="Times New Roman" w:hAnsi="Times New Roman" w:cs="Times New Roman"/>
          <w:sz w:val="28"/>
          <w:szCs w:val="28"/>
        </w:rPr>
        <w:t>.</w:t>
      </w:r>
    </w:p>
    <w:p w14:paraId="00000027"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Regional Analysis of Credit Flows</w:t>
      </w:r>
    </w:p>
    <w:p w14:paraId="00000028"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hyperlink r:id="rId41">
        <w:r>
          <w:rPr>
            <w:rFonts w:ascii="Times New Roman" w:eastAsia="Times New Roman" w:hAnsi="Times New Roman" w:cs="Times New Roman"/>
            <w:color w:val="1155CC"/>
            <w:sz w:val="28"/>
            <w:szCs w:val="28"/>
            <w:u w:val="single"/>
          </w:rPr>
          <w:t>analysis</w:t>
        </w:r>
      </w:hyperlink>
      <w:r>
        <w:rPr>
          <w:rFonts w:ascii="Times New Roman" w:eastAsia="Times New Roman" w:hAnsi="Times New Roman" w:cs="Times New Roman"/>
          <w:sz w:val="28"/>
          <w:szCs w:val="28"/>
        </w:rPr>
        <w:t xml:space="preserve"> of regional credit flow and investment trends in forest-risk commodity sectors across South America, Southeast Asia, and Central and West Africa revealed significant financial flows and investments contributing to deforestation and environmental degradation.</w:t>
      </w:r>
    </w:p>
    <w:p w14:paraId="00000029"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South America, the beef sector dominated forest-risk credit flows, followed by soy, and pulp and paper, with Banco do </w:t>
      </w:r>
      <w:proofErr w:type="spellStart"/>
      <w:r>
        <w:rPr>
          <w:rFonts w:ascii="Times New Roman" w:eastAsia="Times New Roman" w:hAnsi="Times New Roman" w:cs="Times New Roman"/>
          <w:sz w:val="28"/>
          <w:szCs w:val="28"/>
        </w:rPr>
        <w:t>Brasil</w:t>
      </w:r>
      <w:proofErr w:type="spellEnd"/>
      <w:r>
        <w:rPr>
          <w:rFonts w:ascii="Times New Roman" w:eastAsia="Times New Roman" w:hAnsi="Times New Roman" w:cs="Times New Roman"/>
          <w:sz w:val="28"/>
          <w:szCs w:val="28"/>
        </w:rPr>
        <w:t xml:space="preserve"> emerging as a significant creditor. Infamous beneficiaries included companies like </w:t>
      </w:r>
      <w:hyperlink r:id="rId42">
        <w:proofErr w:type="spellStart"/>
        <w:r>
          <w:rPr>
            <w:rFonts w:ascii="Times New Roman" w:eastAsia="Times New Roman" w:hAnsi="Times New Roman" w:cs="Times New Roman"/>
            <w:color w:val="1155CC"/>
            <w:sz w:val="28"/>
            <w:szCs w:val="28"/>
            <w:u w:val="single"/>
          </w:rPr>
          <w:t>Suzano</w:t>
        </w:r>
        <w:proofErr w:type="spellEnd"/>
      </w:hyperlink>
      <w:r>
        <w:rPr>
          <w:rFonts w:ascii="Times New Roman" w:eastAsia="Times New Roman" w:hAnsi="Times New Roman" w:cs="Times New Roman"/>
          <w:sz w:val="28"/>
          <w:szCs w:val="28"/>
        </w:rPr>
        <w:t xml:space="preserve"> and </w:t>
      </w:r>
      <w:hyperlink r:id="rId43">
        <w:r>
          <w:rPr>
            <w:rFonts w:ascii="Times New Roman" w:eastAsia="Times New Roman" w:hAnsi="Times New Roman" w:cs="Times New Roman"/>
            <w:color w:val="1155CC"/>
            <w:sz w:val="28"/>
            <w:szCs w:val="28"/>
            <w:u w:val="single"/>
          </w:rPr>
          <w:t>Marfrig</w:t>
        </w:r>
      </w:hyperlink>
      <w:r>
        <w:rPr>
          <w:rFonts w:ascii="Times New Roman" w:eastAsia="Times New Roman" w:hAnsi="Times New Roman" w:cs="Times New Roman"/>
          <w:sz w:val="28"/>
          <w:szCs w:val="28"/>
        </w:rPr>
        <w:t>.</w:t>
      </w:r>
    </w:p>
    <w:p w14:paraId="0000002A"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Southeast Asia, palm oil was the dominant recipient of forest-risk credit, followed by pulp, paper, and rubber. Indonesian banks played a significant role as financiers, with recipients including </w:t>
      </w:r>
      <w:hyperlink r:id="rId44">
        <w:r>
          <w:rPr>
            <w:rFonts w:ascii="Times New Roman" w:eastAsia="Times New Roman" w:hAnsi="Times New Roman" w:cs="Times New Roman"/>
            <w:color w:val="1155CC"/>
            <w:sz w:val="28"/>
            <w:szCs w:val="28"/>
            <w:u w:val="single"/>
          </w:rPr>
          <w:t>tycoon-owned conglomerates</w:t>
        </w:r>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Sinar</w:t>
      </w:r>
      <w:proofErr w:type="spellEnd"/>
      <w:r>
        <w:rPr>
          <w:rFonts w:ascii="Times New Roman" w:eastAsia="Times New Roman" w:hAnsi="Times New Roman" w:cs="Times New Roman"/>
          <w:sz w:val="28"/>
          <w:szCs w:val="28"/>
        </w:rPr>
        <w:t xml:space="preserve"> Mas Group (SME) and </w:t>
      </w:r>
      <w:hyperlink r:id="rId45">
        <w:r>
          <w:rPr>
            <w:rFonts w:ascii="Times New Roman" w:eastAsia="Times New Roman" w:hAnsi="Times New Roman" w:cs="Times New Roman"/>
            <w:color w:val="1155CC"/>
            <w:sz w:val="28"/>
            <w:szCs w:val="28"/>
            <w:u w:val="single"/>
          </w:rPr>
          <w:t>Royal Golden Eagle</w:t>
        </w:r>
      </w:hyperlink>
      <w:r>
        <w:rPr>
          <w:rFonts w:ascii="Times New Roman" w:eastAsia="Times New Roman" w:hAnsi="Times New Roman" w:cs="Times New Roman"/>
          <w:sz w:val="28"/>
          <w:szCs w:val="28"/>
        </w:rPr>
        <w:t xml:space="preserve"> (RGE). Concerns over governance risks and greenwashing practices persisted despite reductions in primary forest loss.</w:t>
      </w:r>
    </w:p>
    <w:p w14:paraId="0000002B"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Central and West Africa saw the rubber sector attracting </w:t>
      </w:r>
      <w:proofErr w:type="gramStart"/>
      <w:r>
        <w:rPr>
          <w:rFonts w:ascii="Times New Roman" w:eastAsia="Times New Roman" w:hAnsi="Times New Roman" w:cs="Times New Roman"/>
          <w:sz w:val="28"/>
          <w:szCs w:val="28"/>
        </w:rPr>
        <w:t>the majority of</w:t>
      </w:r>
      <w:proofErr w:type="gramEnd"/>
      <w:r>
        <w:rPr>
          <w:rFonts w:ascii="Times New Roman" w:eastAsia="Times New Roman" w:hAnsi="Times New Roman" w:cs="Times New Roman"/>
          <w:sz w:val="28"/>
          <w:szCs w:val="28"/>
        </w:rPr>
        <w:t xml:space="preserve"> forest-risk credit, with Chinese companies emerging as primary financiers. The Chinese </w:t>
      </w:r>
      <w:proofErr w:type="spellStart"/>
      <w:r>
        <w:rPr>
          <w:rFonts w:ascii="Times New Roman" w:eastAsia="Times New Roman" w:hAnsi="Times New Roman" w:cs="Times New Roman"/>
          <w:sz w:val="28"/>
          <w:szCs w:val="28"/>
        </w:rPr>
        <w:t>Sinochem</w:t>
      </w:r>
      <w:proofErr w:type="spellEnd"/>
      <w:r>
        <w:rPr>
          <w:rFonts w:ascii="Times New Roman" w:eastAsia="Times New Roman" w:hAnsi="Times New Roman" w:cs="Times New Roman"/>
          <w:sz w:val="28"/>
          <w:szCs w:val="28"/>
        </w:rPr>
        <w:t xml:space="preserve"> Group was the largest recipient of the credit, followed by China Forestry Group and Wilmar.</w:t>
      </w:r>
    </w:p>
    <w:p w14:paraId="0000002C"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Despite fluctuations in credit flows, challenges remain in corporate structures and accountability. For instance, companies like “SMG [and] RGE… have established complex corporate structures that mask ownership relations. This poses serious governance risks and facilitates leakage and greenwashing. They have all been linked to egregious social and environmental harms for decades,” </w:t>
      </w:r>
      <w:hyperlink r:id="rId46">
        <w:r>
          <w:rPr>
            <w:rFonts w:ascii="Times New Roman" w:eastAsia="Times New Roman" w:hAnsi="Times New Roman" w:cs="Times New Roman"/>
            <w:color w:val="1155CC"/>
            <w:sz w:val="28"/>
            <w:szCs w:val="28"/>
            <w:u w:val="single"/>
          </w:rPr>
          <w:t>states</w:t>
        </w:r>
      </w:hyperlink>
      <w:r>
        <w:rPr>
          <w:rFonts w:ascii="Times New Roman" w:eastAsia="Times New Roman" w:hAnsi="Times New Roman" w:cs="Times New Roman"/>
          <w:sz w:val="28"/>
          <w:szCs w:val="28"/>
        </w:rPr>
        <w:t xml:space="preserve"> the report.</w:t>
      </w:r>
    </w:p>
    <w:p w14:paraId="0000002D"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Forest-Risk Investments</w:t>
      </w:r>
    </w:p>
    <w:p w14:paraId="0000002E"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Investments in activities likely to damage forests globally amounted to more than </w:t>
      </w:r>
      <w:hyperlink r:id="rId47">
        <w:r>
          <w:rPr>
            <w:rFonts w:ascii="Times New Roman" w:eastAsia="Times New Roman" w:hAnsi="Times New Roman" w:cs="Times New Roman"/>
            <w:color w:val="1155CC"/>
            <w:sz w:val="28"/>
            <w:szCs w:val="28"/>
            <w:u w:val="single"/>
          </w:rPr>
          <w:t>$38 billion</w:t>
        </w:r>
      </w:hyperlink>
      <w:r>
        <w:rPr>
          <w:rFonts w:ascii="Times New Roman" w:eastAsia="Times New Roman" w:hAnsi="Times New Roman" w:cs="Times New Roman"/>
          <w:sz w:val="28"/>
          <w:szCs w:val="28"/>
        </w:rPr>
        <w:t xml:space="preserve">, with palm oil receiving the most significant share, followed by pulp and paper. Major institutional investors like BlackRock and Vanguard increased their stakes in forest-risk commodity companies, while others maintained or </w:t>
      </w:r>
      <w:r>
        <w:rPr>
          <w:rFonts w:ascii="Times New Roman" w:eastAsia="Times New Roman" w:hAnsi="Times New Roman" w:cs="Times New Roman"/>
          <w:sz w:val="28"/>
          <w:szCs w:val="28"/>
        </w:rPr>
        <w:lastRenderedPageBreak/>
        <w:t>reduced their investments.</w:t>
      </w:r>
    </w:p>
    <w:p w14:paraId="0000002F"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South America, investments were predominantly allocated to the pulp and paper sector, with </w:t>
      </w:r>
      <w:proofErr w:type="spellStart"/>
      <w:r>
        <w:rPr>
          <w:rFonts w:ascii="Times New Roman" w:eastAsia="Times New Roman" w:hAnsi="Times New Roman" w:cs="Times New Roman"/>
          <w:sz w:val="28"/>
          <w:szCs w:val="28"/>
        </w:rPr>
        <w:t>Suzano</w:t>
      </w:r>
      <w:proofErr w:type="spellEnd"/>
      <w:r>
        <w:rPr>
          <w:rFonts w:ascii="Times New Roman" w:eastAsia="Times New Roman" w:hAnsi="Times New Roman" w:cs="Times New Roman"/>
          <w:sz w:val="28"/>
          <w:szCs w:val="28"/>
        </w:rPr>
        <w:t xml:space="preserve"> being the highest recipient. Southeast Asia saw the most investment in palm oil companies, with Sime Darby Plantations and IOI Group among the leading recipients.</w:t>
      </w:r>
    </w:p>
    <w:p w14:paraId="00000030"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Central and West Africa, palm oil companies also received </w:t>
      </w:r>
      <w:proofErr w:type="gramStart"/>
      <w:r>
        <w:rPr>
          <w:rFonts w:ascii="Times New Roman" w:eastAsia="Times New Roman" w:hAnsi="Times New Roman" w:cs="Times New Roman"/>
          <w:sz w:val="28"/>
          <w:szCs w:val="28"/>
        </w:rPr>
        <w:t>the majority of</w:t>
      </w:r>
      <w:proofErr w:type="gramEnd"/>
      <w:r>
        <w:rPr>
          <w:rFonts w:ascii="Times New Roman" w:eastAsia="Times New Roman" w:hAnsi="Times New Roman" w:cs="Times New Roman"/>
          <w:sz w:val="28"/>
          <w:szCs w:val="28"/>
        </w:rPr>
        <w:t xml:space="preserve"> investments, with Sumitomo Forestry and Itochu being prominent recipients.</w:t>
      </w:r>
    </w:p>
    <w:p w14:paraId="00000031"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Forest-Risk Policy Assessments</w:t>
      </w:r>
    </w:p>
    <w:p w14:paraId="00000032"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Forests and Finance’s assessment methodology evaluated financial </w:t>
      </w:r>
      <w:proofErr w:type="spellStart"/>
      <w:proofErr w:type="gramStart"/>
      <w:r>
        <w:rPr>
          <w:rFonts w:ascii="Times New Roman" w:eastAsia="Times New Roman" w:hAnsi="Times New Roman" w:cs="Times New Roman"/>
          <w:sz w:val="28"/>
          <w:szCs w:val="28"/>
        </w:rPr>
        <w:t>institutionsʼ</w:t>
      </w:r>
      <w:proofErr w:type="spellEnd"/>
      <w:proofErr w:type="gramEnd"/>
      <w:r>
        <w:rPr>
          <w:rFonts w:ascii="Times New Roman" w:eastAsia="Times New Roman" w:hAnsi="Times New Roman" w:cs="Times New Roman"/>
          <w:sz w:val="28"/>
          <w:szCs w:val="28"/>
        </w:rPr>
        <w:t xml:space="preserve"> adherence to </w:t>
      </w:r>
      <w:proofErr w:type="gramStart"/>
      <w:r>
        <w:rPr>
          <w:rFonts w:ascii="Times New Roman" w:eastAsia="Times New Roman" w:hAnsi="Times New Roman" w:cs="Times New Roman"/>
          <w:sz w:val="28"/>
          <w:szCs w:val="28"/>
        </w:rPr>
        <w:t>38</w:t>
      </w:r>
      <w:proofErr w:type="gramEnd"/>
      <w:r>
        <w:rPr>
          <w:rFonts w:ascii="Times New Roman" w:eastAsia="Times New Roman" w:hAnsi="Times New Roman" w:cs="Times New Roman"/>
          <w:sz w:val="28"/>
          <w:szCs w:val="28"/>
        </w:rPr>
        <w:t xml:space="preserve"> criteria to avoid contributing to deforestation and associated ESG issues.</w:t>
      </w:r>
    </w:p>
    <w:p w14:paraId="00000033"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criteria </w:t>
      </w:r>
      <w:proofErr w:type="gramStart"/>
      <w:r>
        <w:rPr>
          <w:rFonts w:ascii="Times New Roman" w:eastAsia="Times New Roman" w:hAnsi="Times New Roman" w:cs="Times New Roman"/>
          <w:sz w:val="28"/>
          <w:szCs w:val="28"/>
        </w:rPr>
        <w:t>are categorized</w:t>
      </w:r>
      <w:proofErr w:type="gramEnd"/>
      <w:r>
        <w:rPr>
          <w:rFonts w:ascii="Times New Roman" w:eastAsia="Times New Roman" w:hAnsi="Times New Roman" w:cs="Times New Roman"/>
          <w:sz w:val="28"/>
          <w:szCs w:val="28"/>
        </w:rPr>
        <w:t xml:space="preserve"> into environmental, social, and governance requirements, covering commitments to zero deforestation, respect for land rights, anti-corruption measures, and more.</w:t>
      </w:r>
    </w:p>
    <w:p w14:paraId="00000034"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Forest-risk policy assessments of more than </w:t>
      </w:r>
      <w:proofErr w:type="gramStart"/>
      <w:r>
        <w:rPr>
          <w:rFonts w:ascii="Times New Roman" w:eastAsia="Times New Roman" w:hAnsi="Times New Roman" w:cs="Times New Roman"/>
          <w:sz w:val="28"/>
          <w:szCs w:val="28"/>
        </w:rPr>
        <w:t>100</w:t>
      </w:r>
      <w:proofErr w:type="gramEnd"/>
      <w:r>
        <w:rPr>
          <w:rFonts w:ascii="Times New Roman" w:eastAsia="Times New Roman" w:hAnsi="Times New Roman" w:cs="Times New Roman"/>
          <w:sz w:val="28"/>
          <w:szCs w:val="28"/>
        </w:rPr>
        <w:t xml:space="preserve"> financial institutions revealed a lack of robust policies, with an average score of only 17 percent. Despite incremental improvements since 2016, vague language, unclear </w:t>
      </w:r>
      <w:proofErr w:type="gramStart"/>
      <w:r>
        <w:rPr>
          <w:rFonts w:ascii="Times New Roman" w:eastAsia="Times New Roman" w:hAnsi="Times New Roman" w:cs="Times New Roman"/>
          <w:sz w:val="28"/>
          <w:szCs w:val="28"/>
        </w:rPr>
        <w:t>timeframes</w:t>
      </w:r>
      <w:proofErr w:type="gramEnd"/>
      <w:r>
        <w:rPr>
          <w:rFonts w:ascii="Times New Roman" w:eastAsia="Times New Roman" w:hAnsi="Times New Roman" w:cs="Times New Roman"/>
          <w:sz w:val="28"/>
          <w:szCs w:val="28"/>
        </w:rPr>
        <w:t>, and loopholes persisted, leading to continued facilitation of human rights violations and deforestation.</w:t>
      </w:r>
    </w:p>
    <w:p w14:paraId="00000035"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The analysis underscores the urgent need for heightened attention, enhanced due diligence, and more stringent policies to address associated environmental, social, and governance risks. It also highlights the need to promote sustainable financial practices in combating deforestation and ecological degradation in tropical forest regions.</w:t>
      </w:r>
    </w:p>
    <w:p w14:paraId="00000036"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Policies by Sector</w:t>
      </w:r>
    </w:p>
    <w:p w14:paraId="00000037"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Regarding sectoral policies, financial institutions </w:t>
      </w:r>
      <w:hyperlink r:id="rId48">
        <w:r>
          <w:rPr>
            <w:rFonts w:ascii="Times New Roman" w:eastAsia="Times New Roman" w:hAnsi="Times New Roman" w:cs="Times New Roman"/>
            <w:color w:val="1155CC"/>
            <w:sz w:val="28"/>
            <w:szCs w:val="28"/>
            <w:u w:val="single"/>
          </w:rPr>
          <w:t>exhibit</w:t>
        </w:r>
      </w:hyperlink>
      <w:r>
        <w:rPr>
          <w:rFonts w:ascii="Times New Roman" w:eastAsia="Times New Roman" w:hAnsi="Times New Roman" w:cs="Times New Roman"/>
          <w:sz w:val="28"/>
          <w:szCs w:val="28"/>
        </w:rPr>
        <w:t xml:space="preserve"> the most robust policies for palm oil, followed closely by timber, and pulp and paper. However, the average scores for these sectors remain </w:t>
      </w:r>
      <w:proofErr w:type="gramStart"/>
      <w:r>
        <w:rPr>
          <w:rFonts w:ascii="Times New Roman" w:eastAsia="Times New Roman" w:hAnsi="Times New Roman" w:cs="Times New Roman"/>
          <w:sz w:val="28"/>
          <w:szCs w:val="28"/>
        </w:rPr>
        <w:t>relatively low</w:t>
      </w:r>
      <w:proofErr w:type="gramEnd"/>
      <w:r>
        <w:rPr>
          <w:rFonts w:ascii="Times New Roman" w:eastAsia="Times New Roman" w:hAnsi="Times New Roman" w:cs="Times New Roman"/>
          <w:sz w:val="28"/>
          <w:szCs w:val="28"/>
        </w:rPr>
        <w:t xml:space="preserve">, indicating room for improvement despite sustained civil society campaigns and certification </w:t>
      </w:r>
      <w:proofErr w:type="spellStart"/>
      <w:proofErr w:type="gramStart"/>
      <w:r>
        <w:rPr>
          <w:rFonts w:ascii="Times New Roman" w:eastAsia="Times New Roman" w:hAnsi="Times New Roman" w:cs="Times New Roman"/>
          <w:sz w:val="28"/>
          <w:szCs w:val="28"/>
        </w:rPr>
        <w:t>schemesʼ</w:t>
      </w:r>
      <w:proofErr w:type="spellEnd"/>
      <w:proofErr w:type="gramEnd"/>
      <w:r>
        <w:rPr>
          <w:rFonts w:ascii="Times New Roman" w:eastAsia="Times New Roman" w:hAnsi="Times New Roman" w:cs="Times New Roman"/>
          <w:sz w:val="28"/>
          <w:szCs w:val="28"/>
        </w:rPr>
        <w:t xml:space="preserve"> existence.</w:t>
      </w:r>
    </w:p>
    <w:p w14:paraId="00000038"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assessment of forest-risk bank policies reveals that, on average, the largest </w:t>
      </w:r>
      <w:proofErr w:type="gramStart"/>
      <w:r>
        <w:rPr>
          <w:rFonts w:ascii="Times New Roman" w:eastAsia="Times New Roman" w:hAnsi="Times New Roman" w:cs="Times New Roman"/>
          <w:sz w:val="28"/>
          <w:szCs w:val="28"/>
        </w:rPr>
        <w:t>30</w:t>
      </w:r>
      <w:proofErr w:type="gramEnd"/>
      <w:r>
        <w:rPr>
          <w:rFonts w:ascii="Times New Roman" w:eastAsia="Times New Roman" w:hAnsi="Times New Roman" w:cs="Times New Roman"/>
          <w:sz w:val="28"/>
          <w:szCs w:val="28"/>
        </w:rPr>
        <w:t xml:space="preserve"> forest-risk banks have higher overall policy scores than the largest forest-risk investors. However, the scores across the board are still low, reflecting minimal policy coverage across ESG criteria.</w:t>
      </w:r>
    </w:p>
    <w:p w14:paraId="00000039"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some banks like CIMB and BNP Paribas scored </w:t>
      </w:r>
      <w:proofErr w:type="gramStart"/>
      <w:r>
        <w:rPr>
          <w:rFonts w:ascii="Times New Roman" w:eastAsia="Times New Roman" w:hAnsi="Times New Roman" w:cs="Times New Roman"/>
          <w:sz w:val="28"/>
          <w:szCs w:val="28"/>
        </w:rPr>
        <w:t>relatively higher</w:t>
      </w:r>
      <w:proofErr w:type="gramEnd"/>
      <w:r>
        <w:rPr>
          <w:rFonts w:ascii="Times New Roman" w:eastAsia="Times New Roman" w:hAnsi="Times New Roman" w:cs="Times New Roman"/>
          <w:sz w:val="28"/>
          <w:szCs w:val="28"/>
        </w:rPr>
        <w:t xml:space="preserve">, others like Banco do </w:t>
      </w:r>
      <w:proofErr w:type="spellStart"/>
      <w:r>
        <w:rPr>
          <w:rFonts w:ascii="Times New Roman" w:eastAsia="Times New Roman" w:hAnsi="Times New Roman" w:cs="Times New Roman"/>
          <w:sz w:val="28"/>
          <w:szCs w:val="28"/>
        </w:rPr>
        <w:t>Brasil</w:t>
      </w:r>
      <w:proofErr w:type="spellEnd"/>
      <w:r>
        <w:rPr>
          <w:rFonts w:ascii="Times New Roman" w:eastAsia="Times New Roman" w:hAnsi="Times New Roman" w:cs="Times New Roman"/>
          <w:sz w:val="28"/>
          <w:szCs w:val="28"/>
        </w:rPr>
        <w:t xml:space="preserve"> and ICBC had notably low scores, indicating inadequate policies to address harmful activities.</w:t>
      </w:r>
    </w:p>
    <w:p w14:paraId="0000003A" w14:textId="77777777" w:rsidR="00CC4DFB" w:rsidRDefault="0069000F">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Four Corporations Leading Destruction</w:t>
      </w:r>
    </w:p>
    <w:p w14:paraId="0000003B"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hyperlink r:id="rId49">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 xml:space="preserve"> highlights four corporations—Cargill, JBS, Royal Golden Eagle, and </w:t>
      </w:r>
      <w:proofErr w:type="spellStart"/>
      <w:r>
        <w:rPr>
          <w:rFonts w:ascii="Times New Roman" w:eastAsia="Times New Roman" w:hAnsi="Times New Roman" w:cs="Times New Roman"/>
          <w:sz w:val="28"/>
          <w:szCs w:val="28"/>
        </w:rPr>
        <w:t>Sinar</w:t>
      </w:r>
      <w:proofErr w:type="spellEnd"/>
      <w:r>
        <w:rPr>
          <w:rFonts w:ascii="Times New Roman" w:eastAsia="Times New Roman" w:hAnsi="Times New Roman" w:cs="Times New Roman"/>
          <w:sz w:val="28"/>
          <w:szCs w:val="28"/>
        </w:rPr>
        <w:t xml:space="preserve"> Mas Group—that continue to receive significant credit and investment from financial institutions despite having egregious environmental and social track records. Cargill</w:t>
      </w:r>
      <w:proofErr w:type="gramStart"/>
      <w:r>
        <w:rPr>
          <w:rFonts w:ascii="Times New Roman" w:eastAsia="Times New Roman" w:hAnsi="Times New Roman" w:cs="Times New Roman"/>
          <w:sz w:val="28"/>
          <w:szCs w:val="28"/>
        </w:rPr>
        <w:t>, in particular, has</w:t>
      </w:r>
      <w:proofErr w:type="gramEnd"/>
      <w:r>
        <w:rPr>
          <w:rFonts w:ascii="Times New Roman" w:eastAsia="Times New Roman" w:hAnsi="Times New Roman" w:cs="Times New Roman"/>
          <w:sz w:val="28"/>
          <w:szCs w:val="28"/>
        </w:rPr>
        <w:t xml:space="preserve"> received substantial credit for its soy operations in tropical forest regions despite having a legacy of human rights abuses and environmental degradation.</w:t>
      </w:r>
    </w:p>
    <w:p w14:paraId="0000003C"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Cargill</w:t>
      </w:r>
    </w:p>
    <w:p w14:paraId="0000003D"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Cargillʼs expansion into the Brazilian Amazon and the </w:t>
      </w:r>
      <w:proofErr w:type="spellStart"/>
      <w:r>
        <w:rPr>
          <w:rFonts w:ascii="Times New Roman" w:eastAsia="Times New Roman" w:hAnsi="Times New Roman" w:cs="Times New Roman"/>
          <w:sz w:val="28"/>
          <w:szCs w:val="28"/>
        </w:rPr>
        <w:t>Cerrado</w:t>
      </w:r>
      <w:proofErr w:type="spellEnd"/>
      <w:r>
        <w:rPr>
          <w:rFonts w:ascii="Times New Roman" w:eastAsia="Times New Roman" w:hAnsi="Times New Roman" w:cs="Times New Roman"/>
          <w:sz w:val="28"/>
          <w:szCs w:val="28"/>
        </w:rPr>
        <w:t xml:space="preserve"> savanna has raised concerns due to decades of deforestation, violations of </w:t>
      </w:r>
      <w:hyperlink r:id="rId50">
        <w:r>
          <w:rPr>
            <w:rFonts w:ascii="Times New Roman" w:eastAsia="Times New Roman" w:hAnsi="Times New Roman" w:cs="Times New Roman"/>
            <w:color w:val="1155CC"/>
            <w:sz w:val="28"/>
            <w:szCs w:val="28"/>
            <w:u w:val="single"/>
          </w:rPr>
          <w:t>Indigenous</w:t>
        </w:r>
      </w:hyperlink>
      <w:r>
        <w:rPr>
          <w:rFonts w:ascii="Times New Roman" w:eastAsia="Times New Roman" w:hAnsi="Times New Roman" w:cs="Times New Roman"/>
          <w:sz w:val="28"/>
          <w:szCs w:val="28"/>
        </w:rPr>
        <w:t xml:space="preserve"> </w:t>
      </w:r>
      <w:hyperlink r:id="rId51">
        <w:r>
          <w:rPr>
            <w:rFonts w:ascii="Times New Roman" w:eastAsia="Times New Roman" w:hAnsi="Times New Roman" w:cs="Times New Roman"/>
            <w:color w:val="1155CC"/>
            <w:sz w:val="28"/>
            <w:szCs w:val="28"/>
            <w:u w:val="single"/>
          </w:rPr>
          <w:t>peoples’ rights</w:t>
        </w:r>
      </w:hyperlink>
      <w:r>
        <w:rPr>
          <w:rFonts w:ascii="Times New Roman" w:eastAsia="Times New Roman" w:hAnsi="Times New Roman" w:cs="Times New Roman"/>
          <w:sz w:val="28"/>
          <w:szCs w:val="28"/>
        </w:rPr>
        <w:t xml:space="preserve">, and failures to meet deforestation commitments. Civil society campaigns, such as </w:t>
      </w:r>
      <w:hyperlink r:id="rId52">
        <w:r>
          <w:rPr>
            <w:rFonts w:ascii="Times New Roman" w:eastAsia="Times New Roman" w:hAnsi="Times New Roman" w:cs="Times New Roman"/>
            <w:color w:val="1155CC"/>
            <w:sz w:val="28"/>
            <w:szCs w:val="28"/>
            <w:u w:val="single"/>
          </w:rPr>
          <w:t>Burning Legacy</w:t>
        </w:r>
      </w:hyperlink>
      <w:r>
        <w:rPr>
          <w:rFonts w:ascii="Times New Roman" w:eastAsia="Times New Roman" w:hAnsi="Times New Roman" w:cs="Times New Roman"/>
          <w:sz w:val="28"/>
          <w:szCs w:val="28"/>
        </w:rPr>
        <w:t>, have aimed to hold Cargill accountable for its practices, documenting evidence of human rights abuses and deforestation in its supply chain.</w:t>
      </w:r>
    </w:p>
    <w:p w14:paraId="0000003E"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Despite making commitments to ensure zero </w:t>
      </w:r>
      <w:hyperlink r:id="rId53">
        <w:r>
          <w:rPr>
            <w:rFonts w:ascii="Times New Roman" w:eastAsia="Times New Roman" w:hAnsi="Times New Roman" w:cs="Times New Roman"/>
            <w:color w:val="1155CC"/>
            <w:sz w:val="28"/>
            <w:szCs w:val="28"/>
            <w:u w:val="single"/>
          </w:rPr>
          <w:t>deforestation</w:t>
        </w:r>
      </w:hyperlink>
      <w:r>
        <w:rPr>
          <w:rFonts w:ascii="Times New Roman" w:eastAsia="Times New Roman" w:hAnsi="Times New Roman" w:cs="Times New Roman"/>
          <w:sz w:val="28"/>
          <w:szCs w:val="28"/>
        </w:rPr>
        <w:t xml:space="preserve"> by 2020</w:t>
      </w:r>
      <w:r>
        <w:rPr>
          <w:rFonts w:ascii="Times New Roman" w:eastAsia="Times New Roman" w:hAnsi="Times New Roman" w:cs="Times New Roman"/>
          <w:sz w:val="28"/>
          <w:szCs w:val="28"/>
        </w:rPr>
        <w:t>, Cargill has failed to meet its goals and has faced allegations of land grabbing and violations of Free, Prior, and Informed Consent (FPIC) rights.</w:t>
      </w:r>
    </w:p>
    <w:p w14:paraId="0000003F"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hyperlink r:id="rId54">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 xml:space="preserve"> also discusses the implications of the financialization of land and the role of the financial sector in exacerbating soy-driven deforestation through </w:t>
      </w:r>
      <w:hyperlink r:id="rId55">
        <w:r>
          <w:rPr>
            <w:rFonts w:ascii="Times New Roman" w:eastAsia="Times New Roman" w:hAnsi="Times New Roman" w:cs="Times New Roman"/>
            <w:color w:val="1155CC"/>
            <w:sz w:val="28"/>
            <w:szCs w:val="28"/>
            <w:u w:val="single"/>
          </w:rPr>
          <w:t>land speculation</w:t>
        </w:r>
      </w:hyperlink>
      <w:r>
        <w:rPr>
          <w:rFonts w:ascii="Times New Roman" w:eastAsia="Times New Roman" w:hAnsi="Times New Roman" w:cs="Times New Roman"/>
          <w:sz w:val="28"/>
          <w:szCs w:val="28"/>
        </w:rPr>
        <w:t>. It evaluates the policies of banks financing Cargill, revealing low scores and loopholes that weaken their effectiveness in preventing harm in forest-risk sectors.</w:t>
      </w:r>
    </w:p>
    <w:p w14:paraId="00000040"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JBS</w:t>
      </w:r>
    </w:p>
    <w:p w14:paraId="00000041"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report delves into the multifaceted issues surrounding JBS, the Brazilian meat giant, and its impact on the </w:t>
      </w:r>
      <w:hyperlink r:id="rId56">
        <w:r>
          <w:rPr>
            <w:rFonts w:ascii="Times New Roman" w:eastAsia="Times New Roman" w:hAnsi="Times New Roman" w:cs="Times New Roman"/>
            <w:color w:val="1155CC"/>
            <w:sz w:val="28"/>
            <w:szCs w:val="28"/>
            <w:u w:val="single"/>
          </w:rPr>
          <w:t>Amazon rainforest</w:t>
        </w:r>
      </w:hyperlink>
      <w:r>
        <w:rPr>
          <w:rFonts w:ascii="Times New Roman" w:eastAsia="Times New Roman" w:hAnsi="Times New Roman" w:cs="Times New Roman"/>
          <w:sz w:val="28"/>
          <w:szCs w:val="28"/>
        </w:rPr>
        <w:t xml:space="preserve">, </w:t>
      </w:r>
      <w:hyperlink r:id="rId57">
        <w:r>
          <w:rPr>
            <w:rFonts w:ascii="Times New Roman" w:eastAsia="Times New Roman" w:hAnsi="Times New Roman" w:cs="Times New Roman"/>
            <w:color w:val="1155CC"/>
            <w:sz w:val="28"/>
            <w:szCs w:val="28"/>
            <w:u w:val="single"/>
          </w:rPr>
          <w:t>climate change</w:t>
        </w:r>
      </w:hyperlink>
      <w:r>
        <w:rPr>
          <w:rFonts w:ascii="Times New Roman" w:eastAsia="Times New Roman" w:hAnsi="Times New Roman" w:cs="Times New Roman"/>
          <w:sz w:val="28"/>
          <w:szCs w:val="28"/>
        </w:rPr>
        <w:t xml:space="preserve">, and local </w:t>
      </w:r>
      <w:hyperlink r:id="rId58">
        <w:r>
          <w:rPr>
            <w:rFonts w:ascii="Times New Roman" w:eastAsia="Times New Roman" w:hAnsi="Times New Roman" w:cs="Times New Roman"/>
            <w:color w:val="1155CC"/>
            <w:sz w:val="28"/>
            <w:szCs w:val="28"/>
            <w:u w:val="single"/>
          </w:rPr>
          <w:t>communities</w:t>
        </w:r>
      </w:hyperlink>
      <w:r>
        <w:rPr>
          <w:rFonts w:ascii="Times New Roman" w:eastAsia="Times New Roman" w:hAnsi="Times New Roman" w:cs="Times New Roman"/>
          <w:sz w:val="28"/>
          <w:szCs w:val="28"/>
        </w:rPr>
        <w:t>. Financed by major banks from Brazil, the United States, Europe, and Japan, JBS has received substantial credit and investment despite its documented history of harmful business practices. Since 2019, banks have provided more than $718 million in forest-risk beef credit to JBS, while investors held $667 million in bonds and shares as of September 2023.</w:t>
      </w:r>
    </w:p>
    <w:p w14:paraId="00000042" w14:textId="77777777" w:rsidR="00CC4DFB" w:rsidRDefault="0069000F">
      <w:pPr>
        <w:widowControl w:val="0"/>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JBSʼs</w:t>
      </w:r>
      <w:proofErr w:type="spellEnd"/>
      <w:r>
        <w:rPr>
          <w:rFonts w:ascii="Times New Roman" w:eastAsia="Times New Roman" w:hAnsi="Times New Roman" w:cs="Times New Roman"/>
          <w:sz w:val="28"/>
          <w:szCs w:val="28"/>
        </w:rPr>
        <w:t xml:space="preserve"> operations in the Brazilian Amazon have devastating consequences for forests, biodiversity, and Indigenous and traditional communities. The company’s practices include </w:t>
      </w:r>
      <w:hyperlink r:id="rId59">
        <w:r>
          <w:rPr>
            <w:rFonts w:ascii="Times New Roman" w:eastAsia="Times New Roman" w:hAnsi="Times New Roman" w:cs="Times New Roman"/>
            <w:color w:val="1155CC"/>
            <w:sz w:val="28"/>
            <w:szCs w:val="28"/>
            <w:u w:val="single"/>
          </w:rPr>
          <w:t>bribery</w:t>
        </w:r>
      </w:hyperlink>
      <w:r>
        <w:rPr>
          <w:rFonts w:ascii="Times New Roman" w:eastAsia="Times New Roman" w:hAnsi="Times New Roman" w:cs="Times New Roman"/>
          <w:sz w:val="28"/>
          <w:szCs w:val="28"/>
        </w:rPr>
        <w:t xml:space="preserve">, corruption, </w:t>
      </w:r>
      <w:hyperlink r:id="rId60">
        <w:r>
          <w:rPr>
            <w:rFonts w:ascii="Times New Roman" w:eastAsia="Times New Roman" w:hAnsi="Times New Roman" w:cs="Times New Roman"/>
            <w:color w:val="1155CC"/>
            <w:sz w:val="28"/>
            <w:szCs w:val="28"/>
            <w:u w:val="single"/>
          </w:rPr>
          <w:t>price fixing</w:t>
        </w:r>
      </w:hyperlink>
      <w:r>
        <w:rPr>
          <w:rFonts w:ascii="Times New Roman" w:eastAsia="Times New Roman" w:hAnsi="Times New Roman" w:cs="Times New Roman"/>
          <w:sz w:val="28"/>
          <w:szCs w:val="28"/>
        </w:rPr>
        <w:t xml:space="preserve">, forced labor and </w:t>
      </w:r>
      <w:hyperlink r:id="rId61">
        <w:r>
          <w:rPr>
            <w:rFonts w:ascii="Times New Roman" w:eastAsia="Times New Roman" w:hAnsi="Times New Roman" w:cs="Times New Roman"/>
            <w:color w:val="1155CC"/>
            <w:sz w:val="28"/>
            <w:szCs w:val="28"/>
            <w:u w:val="single"/>
          </w:rPr>
          <w:t>labor abuses</w:t>
        </w:r>
      </w:hyperlink>
      <w:r>
        <w:rPr>
          <w:rFonts w:ascii="Times New Roman" w:eastAsia="Times New Roman" w:hAnsi="Times New Roman" w:cs="Times New Roman"/>
          <w:sz w:val="28"/>
          <w:szCs w:val="28"/>
        </w:rPr>
        <w:t xml:space="preserve">, forest destruction, land grabbing, and contribution to </w:t>
      </w:r>
      <w:hyperlink r:id="rId62">
        <w:r>
          <w:rPr>
            <w:rFonts w:ascii="Times New Roman" w:eastAsia="Times New Roman" w:hAnsi="Times New Roman" w:cs="Times New Roman"/>
            <w:color w:val="1155CC"/>
            <w:sz w:val="28"/>
            <w:szCs w:val="28"/>
            <w:u w:val="single"/>
          </w:rPr>
          <w:t>climate change</w:t>
        </w:r>
      </w:hyperlink>
      <w:r>
        <w:rPr>
          <w:rFonts w:ascii="Times New Roman" w:eastAsia="Times New Roman" w:hAnsi="Times New Roman" w:cs="Times New Roman"/>
          <w:sz w:val="28"/>
          <w:szCs w:val="28"/>
        </w:rPr>
        <w:t xml:space="preserve">. Despite JBS’s high-profile </w:t>
      </w:r>
      <w:hyperlink r:id="rId63">
        <w:r>
          <w:rPr>
            <w:rFonts w:ascii="Times New Roman" w:eastAsia="Times New Roman" w:hAnsi="Times New Roman" w:cs="Times New Roman"/>
            <w:color w:val="1155CC"/>
            <w:sz w:val="28"/>
            <w:szCs w:val="28"/>
            <w:u w:val="single"/>
          </w:rPr>
          <w:t>pledge</w:t>
        </w:r>
      </w:hyperlink>
      <w:r>
        <w:rPr>
          <w:rFonts w:ascii="Times New Roman" w:eastAsia="Times New Roman" w:hAnsi="Times New Roman" w:cs="Times New Roman"/>
          <w:sz w:val="28"/>
          <w:szCs w:val="28"/>
        </w:rPr>
        <w:t xml:space="preserve"> to achieve net-zero emissions by 2040, independent research suggests that the company lacks a credible decarbonization plan, leading to allegations of </w:t>
      </w:r>
      <w:hyperlink r:id="rId64">
        <w:r>
          <w:rPr>
            <w:rFonts w:ascii="Times New Roman" w:eastAsia="Times New Roman" w:hAnsi="Times New Roman" w:cs="Times New Roman"/>
            <w:color w:val="1155CC"/>
            <w:sz w:val="28"/>
            <w:szCs w:val="28"/>
            <w:u w:val="single"/>
          </w:rPr>
          <w:t>greenwashing</w:t>
        </w:r>
      </w:hyperlink>
      <w:r>
        <w:rPr>
          <w:rFonts w:ascii="Times New Roman" w:eastAsia="Times New Roman" w:hAnsi="Times New Roman" w:cs="Times New Roman"/>
          <w:sz w:val="28"/>
          <w:szCs w:val="28"/>
        </w:rPr>
        <w:t>.</w:t>
      </w:r>
    </w:p>
    <w:p w14:paraId="00000043"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exploitation of people and forests in the Amazon is a systemic issue linked to JBS. Between 2008 and 2020, the company’s involvement in deforestation extended to approximately </w:t>
      </w:r>
      <w:hyperlink r:id="rId65">
        <w:r>
          <w:rPr>
            <w:rFonts w:ascii="Times New Roman" w:eastAsia="Times New Roman" w:hAnsi="Times New Roman" w:cs="Times New Roman"/>
            <w:color w:val="1155CC"/>
            <w:sz w:val="28"/>
            <w:szCs w:val="28"/>
            <w:u w:val="single"/>
          </w:rPr>
          <w:t>200,000 hectares</w:t>
        </w:r>
      </w:hyperlink>
      <w:r>
        <w:rPr>
          <w:rFonts w:ascii="Times New Roman" w:eastAsia="Times New Roman" w:hAnsi="Times New Roman" w:cs="Times New Roman"/>
          <w:sz w:val="28"/>
          <w:szCs w:val="28"/>
        </w:rPr>
        <w:t xml:space="preserve"> in its direct supply chain and 1.5 million hectares indirectly. Despite agreements to clean up its supply chain, JBS has failed to ensure its products are free from deforestation and forced labor, as evidenced by ongoing </w:t>
      </w:r>
      <w:hyperlink r:id="rId66">
        <w:r>
          <w:rPr>
            <w:rFonts w:ascii="Times New Roman" w:eastAsia="Times New Roman" w:hAnsi="Times New Roman" w:cs="Times New Roman"/>
            <w:color w:val="1155CC"/>
            <w:sz w:val="28"/>
            <w:szCs w:val="28"/>
            <w:u w:val="single"/>
          </w:rPr>
          <w:t>violations</w:t>
        </w:r>
      </w:hyperlink>
      <w:r>
        <w:rPr>
          <w:rFonts w:ascii="Times New Roman" w:eastAsia="Times New Roman" w:hAnsi="Times New Roman" w:cs="Times New Roman"/>
          <w:sz w:val="28"/>
          <w:szCs w:val="28"/>
        </w:rPr>
        <w:t>.</w:t>
      </w:r>
    </w:p>
    <w:p w14:paraId="00000044"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assessment of JBS policies reveals </w:t>
      </w:r>
      <w:proofErr w:type="gramStart"/>
      <w:r>
        <w:rPr>
          <w:rFonts w:ascii="Times New Roman" w:eastAsia="Times New Roman" w:hAnsi="Times New Roman" w:cs="Times New Roman"/>
          <w:sz w:val="28"/>
          <w:szCs w:val="28"/>
        </w:rPr>
        <w:t>concerning scores</w:t>
      </w:r>
      <w:proofErr w:type="gramEnd"/>
      <w:r>
        <w:rPr>
          <w:rFonts w:ascii="Times New Roman" w:eastAsia="Times New Roman" w:hAnsi="Times New Roman" w:cs="Times New Roman"/>
          <w:sz w:val="28"/>
          <w:szCs w:val="28"/>
        </w:rPr>
        <w:t xml:space="preserve">, indicating inadequate measures to prevent environmental harm and protect human rights. While some banks like Barclays scored </w:t>
      </w:r>
      <w:proofErr w:type="gramStart"/>
      <w:r>
        <w:rPr>
          <w:rFonts w:ascii="Times New Roman" w:eastAsia="Times New Roman" w:hAnsi="Times New Roman" w:cs="Times New Roman"/>
          <w:sz w:val="28"/>
          <w:szCs w:val="28"/>
        </w:rPr>
        <w:t>relatively higher</w:t>
      </w:r>
      <w:proofErr w:type="gramEnd"/>
      <w:r>
        <w:rPr>
          <w:rFonts w:ascii="Times New Roman" w:eastAsia="Times New Roman" w:hAnsi="Times New Roman" w:cs="Times New Roman"/>
          <w:sz w:val="28"/>
          <w:szCs w:val="28"/>
        </w:rPr>
        <w:t xml:space="preserve">, others like Bradesco and BTG </w:t>
      </w:r>
      <w:proofErr w:type="spellStart"/>
      <w:r>
        <w:rPr>
          <w:rFonts w:ascii="Times New Roman" w:eastAsia="Times New Roman" w:hAnsi="Times New Roman" w:cs="Times New Roman"/>
          <w:sz w:val="28"/>
          <w:szCs w:val="28"/>
        </w:rPr>
        <w:t>Pactual</w:t>
      </w:r>
      <w:proofErr w:type="spellEnd"/>
      <w:r>
        <w:rPr>
          <w:rFonts w:ascii="Times New Roman" w:eastAsia="Times New Roman" w:hAnsi="Times New Roman" w:cs="Times New Roman"/>
          <w:sz w:val="28"/>
          <w:szCs w:val="28"/>
        </w:rPr>
        <w:t xml:space="preserve"> had alarmingly low scores, raising questions about their commitment to addressing crucial issues like deforestation and climate change.</w:t>
      </w:r>
    </w:p>
    <w:p w14:paraId="00000045"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communities affected by these actions are now holding financial institutions supporting companies like JBS </w:t>
      </w:r>
      <w:hyperlink r:id="rId67">
        <w:r>
          <w:rPr>
            <w:rFonts w:ascii="Times New Roman" w:eastAsia="Times New Roman" w:hAnsi="Times New Roman" w:cs="Times New Roman"/>
            <w:color w:val="1155CC"/>
            <w:sz w:val="28"/>
            <w:szCs w:val="28"/>
            <w:u w:val="single"/>
          </w:rPr>
          <w:t>responsible</w:t>
        </w:r>
      </w:hyperlink>
      <w:r>
        <w:rPr>
          <w:rFonts w:ascii="Times New Roman" w:eastAsia="Times New Roman" w:hAnsi="Times New Roman" w:cs="Times New Roman"/>
          <w:sz w:val="28"/>
          <w:szCs w:val="28"/>
        </w:rPr>
        <w:t xml:space="preserve"> for the environmental damage. In April 2024, the </w:t>
      </w:r>
      <w:proofErr w:type="spellStart"/>
      <w:r>
        <w:rPr>
          <w:rFonts w:ascii="Times New Roman" w:eastAsia="Times New Roman" w:hAnsi="Times New Roman" w:cs="Times New Roman"/>
          <w:sz w:val="28"/>
          <w:szCs w:val="28"/>
        </w:rPr>
        <w:t>Parakanã</w:t>
      </w:r>
      <w:proofErr w:type="spellEnd"/>
      <w:r>
        <w:rPr>
          <w:rFonts w:ascii="Times New Roman" w:eastAsia="Times New Roman" w:hAnsi="Times New Roman" w:cs="Times New Roman"/>
          <w:sz w:val="28"/>
          <w:szCs w:val="28"/>
        </w:rPr>
        <w:t xml:space="preserve"> people met with the Brazilian Development Bank (BNDES) to ask for reparation for the devastation of their territory, including by JBS suppliers. The Brazilian bank holds 20 percent of the shares of JBS and </w:t>
      </w:r>
      <w:proofErr w:type="gramStart"/>
      <w:r>
        <w:rPr>
          <w:rFonts w:ascii="Times New Roman" w:eastAsia="Times New Roman" w:hAnsi="Times New Roman" w:cs="Times New Roman"/>
          <w:sz w:val="28"/>
          <w:szCs w:val="28"/>
        </w:rPr>
        <w:t>is therefore considered</w:t>
      </w:r>
      <w:proofErr w:type="gramEnd"/>
      <w:r>
        <w:rPr>
          <w:rFonts w:ascii="Times New Roman" w:eastAsia="Times New Roman" w:hAnsi="Times New Roman" w:cs="Times New Roman"/>
          <w:sz w:val="28"/>
          <w:szCs w:val="28"/>
        </w:rPr>
        <w:t xml:space="preserve"> co-responsible for the impacts.</w:t>
      </w:r>
    </w:p>
    <w:p w14:paraId="00000046"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Royal Golden Eagle Group</w:t>
      </w:r>
    </w:p>
    <w:p w14:paraId="00000047"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report also reveals mounting evidence that the multibillion-dollar </w:t>
      </w:r>
      <w:hyperlink r:id="rId68">
        <w:r>
          <w:rPr>
            <w:rFonts w:ascii="Times New Roman" w:eastAsia="Times New Roman" w:hAnsi="Times New Roman" w:cs="Times New Roman"/>
            <w:color w:val="1155CC"/>
            <w:sz w:val="28"/>
            <w:szCs w:val="28"/>
            <w:u w:val="single"/>
          </w:rPr>
          <w:t>Royal Golden Eagle Group</w:t>
        </w:r>
      </w:hyperlink>
      <w:r>
        <w:rPr>
          <w:rFonts w:ascii="Times New Roman" w:eastAsia="Times New Roman" w:hAnsi="Times New Roman" w:cs="Times New Roman"/>
          <w:sz w:val="28"/>
          <w:szCs w:val="28"/>
        </w:rPr>
        <w:t xml:space="preserve"> (RGE), which says on its website “manages a group of world-class companies specializing in resource-based manufacturing,” operates numerous “shadow companies” and complex offshore ownership schemes to hide their destruction of forests across Indonesia.</w:t>
      </w:r>
      <w:r>
        <w:rPr>
          <w:rFonts w:ascii="Times New Roman" w:eastAsia="Times New Roman" w:hAnsi="Times New Roman" w:cs="Times New Roman"/>
          <w:sz w:val="28"/>
          <w:szCs w:val="28"/>
        </w:rPr>
        <w:t xml:space="preserve"> Banks have poured more than $4.5 billion into forest-risk pulp and paper-attributable loans and underwriting services for </w:t>
      </w:r>
      <w:proofErr w:type="spellStart"/>
      <w:r>
        <w:rPr>
          <w:rFonts w:ascii="Times New Roman" w:eastAsia="Times New Roman" w:hAnsi="Times New Roman" w:cs="Times New Roman"/>
          <w:sz w:val="28"/>
          <w:szCs w:val="28"/>
        </w:rPr>
        <w:t>RGEʼs</w:t>
      </w:r>
      <w:proofErr w:type="spellEnd"/>
      <w:r>
        <w:rPr>
          <w:rFonts w:ascii="Times New Roman" w:eastAsia="Times New Roman" w:hAnsi="Times New Roman" w:cs="Times New Roman"/>
          <w:sz w:val="28"/>
          <w:szCs w:val="28"/>
        </w:rPr>
        <w:t xml:space="preserve"> operations between 2019 and 2023.</w:t>
      </w:r>
    </w:p>
    <w:p w14:paraId="00000048"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none of the financial institutions assessed have adequate policies to mitigate the negative impacts. Scores for </w:t>
      </w:r>
      <w:proofErr w:type="spellStart"/>
      <w:r>
        <w:rPr>
          <w:rFonts w:ascii="Times New Roman" w:eastAsia="Times New Roman" w:hAnsi="Times New Roman" w:cs="Times New Roman"/>
          <w:sz w:val="28"/>
          <w:szCs w:val="28"/>
        </w:rPr>
        <w:t>RGEʼs</w:t>
      </w:r>
      <w:proofErr w:type="spellEnd"/>
      <w:r>
        <w:rPr>
          <w:rFonts w:ascii="Times New Roman" w:eastAsia="Times New Roman" w:hAnsi="Times New Roman" w:cs="Times New Roman"/>
          <w:sz w:val="28"/>
          <w:szCs w:val="28"/>
        </w:rPr>
        <w:t xml:space="preserve"> top creditors range from 1 percent to 24 percent, indicating a lack of comprehensive policy coverage regarding forest-risk commodity sectors.</w:t>
      </w:r>
    </w:p>
    <w:p w14:paraId="00000049" w14:textId="77777777" w:rsidR="00CC4DFB" w:rsidRDefault="0069000F">
      <w:pPr>
        <w:widowControl w:val="0"/>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Sinar</w:t>
      </w:r>
      <w:proofErr w:type="spellEnd"/>
      <w:r>
        <w:rPr>
          <w:rFonts w:ascii="Times New Roman" w:eastAsia="Times New Roman" w:hAnsi="Times New Roman" w:cs="Times New Roman"/>
          <w:sz w:val="28"/>
          <w:szCs w:val="28"/>
        </w:rPr>
        <w:t xml:space="preserve"> Mas Group</w:t>
      </w:r>
    </w:p>
    <w:p w14:paraId="0000004A" w14:textId="77777777" w:rsidR="00CC4DFB" w:rsidRDefault="0069000F">
      <w:pPr>
        <w:widowControl w:val="0"/>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Sinar</w:t>
      </w:r>
      <w:proofErr w:type="spellEnd"/>
      <w:r>
        <w:rPr>
          <w:rFonts w:ascii="Times New Roman" w:eastAsia="Times New Roman" w:hAnsi="Times New Roman" w:cs="Times New Roman"/>
          <w:sz w:val="28"/>
          <w:szCs w:val="28"/>
        </w:rPr>
        <w:t xml:space="preserve"> Mas Group (SMG), </w:t>
      </w:r>
      <w:proofErr w:type="spellStart"/>
      <w:r>
        <w:rPr>
          <w:rFonts w:ascii="Times New Roman" w:eastAsia="Times New Roman" w:hAnsi="Times New Roman" w:cs="Times New Roman"/>
          <w:sz w:val="28"/>
          <w:szCs w:val="28"/>
        </w:rPr>
        <w:t>Indonesiaʼs</w:t>
      </w:r>
      <w:proofErr w:type="spellEnd"/>
      <w:r>
        <w:rPr>
          <w:rFonts w:ascii="Times New Roman" w:eastAsia="Times New Roman" w:hAnsi="Times New Roman" w:cs="Times New Roman"/>
          <w:sz w:val="28"/>
          <w:szCs w:val="28"/>
        </w:rPr>
        <w:t xml:space="preserve"> largest conglomerate, has attracted substantial financing, receiving more than $20.3 billion in credit since 2019. Its palm oil division alone obtained $3.7 billion, primarily from Indonesian and Malaysian banks, between 2019 and September 2023. Despite this financial backing, SMG faces accusations of human </w:t>
      </w:r>
      <w:hyperlink r:id="rId69">
        <w:r>
          <w:rPr>
            <w:rFonts w:ascii="Times New Roman" w:eastAsia="Times New Roman" w:hAnsi="Times New Roman" w:cs="Times New Roman"/>
            <w:color w:val="1155CC"/>
            <w:sz w:val="28"/>
            <w:szCs w:val="28"/>
            <w:u w:val="single"/>
          </w:rPr>
          <w:t>rights abuses</w:t>
        </w:r>
      </w:hyperlink>
      <w:r>
        <w:rPr>
          <w:rFonts w:ascii="Times New Roman" w:eastAsia="Times New Roman" w:hAnsi="Times New Roman" w:cs="Times New Roman"/>
          <w:sz w:val="28"/>
          <w:szCs w:val="28"/>
        </w:rPr>
        <w:t xml:space="preserve">, massive greenhouse gas emissions, and large-scale </w:t>
      </w:r>
      <w:hyperlink r:id="rId70">
        <w:r>
          <w:rPr>
            <w:rFonts w:ascii="Times New Roman" w:eastAsia="Times New Roman" w:hAnsi="Times New Roman" w:cs="Times New Roman"/>
            <w:color w:val="1155CC"/>
            <w:sz w:val="28"/>
            <w:szCs w:val="28"/>
            <w:u w:val="single"/>
          </w:rPr>
          <w:t>deforestation</w:t>
        </w:r>
      </w:hyperlink>
      <w:r>
        <w:rPr>
          <w:rFonts w:ascii="Times New Roman" w:eastAsia="Times New Roman" w:hAnsi="Times New Roman" w:cs="Times New Roman"/>
          <w:sz w:val="28"/>
          <w:szCs w:val="28"/>
        </w:rPr>
        <w:t>, mainly through its pulp and paper division, Asia Pulp and Paper (</w:t>
      </w:r>
      <w:hyperlink r:id="rId71">
        <w:r>
          <w:rPr>
            <w:rFonts w:ascii="Times New Roman" w:eastAsia="Times New Roman" w:hAnsi="Times New Roman" w:cs="Times New Roman"/>
            <w:color w:val="1155CC"/>
            <w:sz w:val="28"/>
            <w:szCs w:val="28"/>
            <w:u w:val="single"/>
          </w:rPr>
          <w:t>APP</w:t>
        </w:r>
      </w:hyperlink>
      <w:r>
        <w:rPr>
          <w:rFonts w:ascii="Times New Roman" w:eastAsia="Times New Roman" w:hAnsi="Times New Roman" w:cs="Times New Roman"/>
          <w:sz w:val="28"/>
          <w:szCs w:val="28"/>
        </w:rPr>
        <w:t>).</w:t>
      </w:r>
    </w:p>
    <w:p w14:paraId="0000004B"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destruction of the </w:t>
      </w:r>
      <w:proofErr w:type="spellStart"/>
      <w:r>
        <w:rPr>
          <w:rFonts w:ascii="Times New Roman" w:eastAsia="Times New Roman" w:hAnsi="Times New Roman" w:cs="Times New Roman"/>
          <w:sz w:val="28"/>
          <w:szCs w:val="28"/>
        </w:rPr>
        <w:t>Rawa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Singkil</w:t>
      </w:r>
      <w:proofErr w:type="spellEnd"/>
      <w:r>
        <w:rPr>
          <w:rFonts w:ascii="Times New Roman" w:eastAsia="Times New Roman" w:hAnsi="Times New Roman" w:cs="Times New Roman"/>
          <w:sz w:val="28"/>
          <w:szCs w:val="28"/>
        </w:rPr>
        <w:t xml:space="preserve"> Wildlife Reserve by illegal palm oil plantations linked to </w:t>
      </w:r>
      <w:proofErr w:type="spellStart"/>
      <w:r>
        <w:rPr>
          <w:rFonts w:ascii="Times New Roman" w:eastAsia="Times New Roman" w:hAnsi="Times New Roman" w:cs="Times New Roman"/>
          <w:sz w:val="28"/>
          <w:szCs w:val="28"/>
        </w:rPr>
        <w:t>SMGʼs</w:t>
      </w:r>
      <w:proofErr w:type="spellEnd"/>
      <w:r>
        <w:rPr>
          <w:rFonts w:ascii="Times New Roman" w:eastAsia="Times New Roman" w:hAnsi="Times New Roman" w:cs="Times New Roman"/>
          <w:sz w:val="28"/>
          <w:szCs w:val="28"/>
        </w:rPr>
        <w:t xml:space="preserve"> </w:t>
      </w:r>
      <w:hyperlink r:id="rId72">
        <w:r>
          <w:rPr>
            <w:rFonts w:ascii="Times New Roman" w:eastAsia="Times New Roman" w:hAnsi="Times New Roman" w:cs="Times New Roman"/>
            <w:color w:val="1155CC"/>
            <w:sz w:val="28"/>
            <w:szCs w:val="28"/>
            <w:u w:val="single"/>
          </w:rPr>
          <w:t>operations</w:t>
        </w:r>
      </w:hyperlink>
      <w:r>
        <w:rPr>
          <w:rFonts w:ascii="Times New Roman" w:eastAsia="Times New Roman" w:hAnsi="Times New Roman" w:cs="Times New Roman"/>
          <w:sz w:val="28"/>
          <w:szCs w:val="28"/>
        </w:rPr>
        <w:t xml:space="preserve"> poses a significant concern, threatening biodiversity and local </w:t>
      </w:r>
      <w:proofErr w:type="spellStart"/>
      <w:r>
        <w:rPr>
          <w:rFonts w:ascii="Times New Roman" w:eastAsia="Times New Roman" w:hAnsi="Times New Roman" w:cs="Times New Roman"/>
          <w:sz w:val="28"/>
          <w:szCs w:val="28"/>
        </w:rPr>
        <w:t>communitiesʼ</w:t>
      </w:r>
      <w:proofErr w:type="spellEnd"/>
      <w:r>
        <w:rPr>
          <w:rFonts w:ascii="Times New Roman" w:eastAsia="Times New Roman" w:hAnsi="Times New Roman" w:cs="Times New Roman"/>
          <w:sz w:val="28"/>
          <w:szCs w:val="28"/>
        </w:rPr>
        <w:t xml:space="preserve"> well-being within the </w:t>
      </w:r>
      <w:hyperlink r:id="rId73">
        <w:proofErr w:type="spellStart"/>
        <w:r>
          <w:rPr>
            <w:rFonts w:ascii="Times New Roman" w:eastAsia="Times New Roman" w:hAnsi="Times New Roman" w:cs="Times New Roman"/>
            <w:color w:val="1155CC"/>
            <w:sz w:val="28"/>
            <w:szCs w:val="28"/>
            <w:u w:val="single"/>
          </w:rPr>
          <w:t>Leuser</w:t>
        </w:r>
        <w:proofErr w:type="spellEnd"/>
        <w:r>
          <w:rPr>
            <w:rFonts w:ascii="Times New Roman" w:eastAsia="Times New Roman" w:hAnsi="Times New Roman" w:cs="Times New Roman"/>
            <w:color w:val="1155CC"/>
            <w:sz w:val="28"/>
            <w:szCs w:val="28"/>
            <w:u w:val="single"/>
          </w:rPr>
          <w:t xml:space="preserve"> </w:t>
        </w:r>
      </w:hyperlink>
      <w:hyperlink r:id="rId74">
        <w:r>
          <w:rPr>
            <w:rFonts w:ascii="Times New Roman" w:eastAsia="Times New Roman" w:hAnsi="Times New Roman" w:cs="Times New Roman"/>
            <w:color w:val="1155CC"/>
            <w:sz w:val="28"/>
            <w:szCs w:val="28"/>
            <w:u w:val="single"/>
          </w:rPr>
          <w:t>Ecosystem</w:t>
        </w:r>
      </w:hyperlink>
      <w:r>
        <w:rPr>
          <w:rFonts w:ascii="Times New Roman" w:eastAsia="Times New Roman" w:hAnsi="Times New Roman" w:cs="Times New Roman"/>
          <w:sz w:val="28"/>
          <w:szCs w:val="28"/>
        </w:rPr>
        <w:t>. Despite documented evidence, SMG and its subsidiaries have failed to address these issues adequately, raising questions about their commitment to sustainability.</w:t>
      </w:r>
    </w:p>
    <w:p w14:paraId="0000004C"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report evaluates the policies of banks and investors financing SMG, revealing a spectrum of approaches. Malaysian banks CIMB and Maybank and Dutch bank Rabobank exhibit more robust policies, scoring highest for the palm oil sector. However, Indonesian banks such as Bank Panin, BRI, and Japanese bank MUFG have notably weaker policies, indicating insufficient measures to address environmental and social risks.</w:t>
      </w:r>
    </w:p>
    <w:p w14:paraId="0000004D"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What Governments and Financial Institutions Can Do</w:t>
      </w:r>
    </w:p>
    <w:p w14:paraId="0000004E"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report underscores the urgent need for financial institutions to adopt robust policies and due diligence measures to address environmental and social risks associated with companies like JBS and RGE. Failure to do so perpetuates ecological destruction and human rights abuses and exposes banks and investors to significant financial and reputational risks.</w:t>
      </w:r>
    </w:p>
    <w:p w14:paraId="0000004F" w14:textId="77777777" w:rsidR="00CC4DFB" w:rsidRDefault="0069000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Critically, the report </w:t>
      </w:r>
      <w:r>
        <w:rPr>
          <w:rFonts w:ascii="Times New Roman" w:eastAsia="Times New Roman" w:hAnsi="Times New Roman" w:cs="Times New Roman"/>
          <w:sz w:val="28"/>
          <w:szCs w:val="28"/>
        </w:rPr>
        <w:t xml:space="preserve">also advocates for governments to step in and mandate financial sector regulation necessary to safeguard society and the ecosystems we depend on, consistent with international public policy goals. This is a problem that </w:t>
      </w:r>
      <w:proofErr w:type="gramStart"/>
      <w:r>
        <w:rPr>
          <w:rFonts w:ascii="Times New Roman" w:eastAsia="Times New Roman" w:hAnsi="Times New Roman" w:cs="Times New Roman"/>
          <w:sz w:val="28"/>
          <w:szCs w:val="28"/>
        </w:rPr>
        <w:t>ultimately demands</w:t>
      </w:r>
      <w:proofErr w:type="gramEnd"/>
      <w:r>
        <w:rPr>
          <w:rFonts w:ascii="Times New Roman" w:eastAsia="Times New Roman" w:hAnsi="Times New Roman" w:cs="Times New Roman"/>
          <w:sz w:val="28"/>
          <w:szCs w:val="28"/>
        </w:rPr>
        <w:t xml:space="preserve"> stronger, more systemic interventions. These could include, for example, prohibiting the allocation of capital to certain sectors or corporations driving ecosystem destruction and legislating for meaningful sanctions against financial institutions that fail to align their </w:t>
      </w:r>
      <w:r>
        <w:rPr>
          <w:rFonts w:ascii="Times New Roman" w:eastAsia="Times New Roman" w:hAnsi="Times New Roman" w:cs="Times New Roman"/>
          <w:sz w:val="28"/>
          <w:szCs w:val="28"/>
        </w:rPr>
        <w:t>lending and investment accordingly.</w:t>
      </w:r>
    </w:p>
    <w:sectPr w:rsidR="00CC4D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D2279"/>
    <w:multiLevelType w:val="multilevel"/>
    <w:tmpl w:val="74544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290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FB"/>
    <w:rsid w:val="0069000F"/>
    <w:rsid w:val="00CC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E1B49-BC38-4361-87E4-B7777EC6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esdm.go.id/en/media-center/news-archives/sekretariat-jetp-terbentuk-siap-realisasikan-kerja-sama-pendanaan-transisi-energi" TargetMode="External"/><Relationship Id="rId21" Type="http://schemas.openxmlformats.org/officeDocument/2006/relationships/hyperlink" Target="https://forestsandfinance.org/banking-on-biodiversity-collapse/" TargetMode="External"/><Relationship Id="rId42" Type="http://schemas.openxmlformats.org/officeDocument/2006/relationships/hyperlink" Target="https://environmentalpaper.org/2022/12/tres-lagoas-paper/" TargetMode="External"/><Relationship Id="rId47" Type="http://schemas.openxmlformats.org/officeDocument/2006/relationships/hyperlink" Target="https://www.twn.my/title2/biotk/2023/btk231203.htm" TargetMode="External"/><Relationship Id="rId63" Type="http://schemas.openxmlformats.org/officeDocument/2006/relationships/hyperlink" Target="https://jbs.com.br/netzero/en/" TargetMode="External"/><Relationship Id="rId68" Type="http://schemas.openxmlformats.org/officeDocument/2006/relationships/hyperlink" Target="https://www.rgei.com/" TargetMode="External"/><Relationship Id="rId2" Type="http://schemas.openxmlformats.org/officeDocument/2006/relationships/styles" Target="styles.xml"/><Relationship Id="rId16" Type="http://schemas.openxmlformats.org/officeDocument/2006/relationships/hyperlink" Target="https://forestsandfinance.org/about-us/" TargetMode="External"/><Relationship Id="rId29" Type="http://schemas.openxmlformats.org/officeDocument/2006/relationships/hyperlink" Target="https://www.bnm.gov.my/-/value-based-intermediation-financing-and-investment-impact-assessment-framework-guidance-document" TargetMode="External"/><Relationship Id="rId11" Type="http://schemas.openxmlformats.org/officeDocument/2006/relationships/hyperlink" Target="https://www.ipcc.ch/report/ar6/syr/" TargetMode="External"/><Relationship Id="rId24" Type="http://schemas.openxmlformats.org/officeDocument/2006/relationships/hyperlink" Target="https://www.ifrs.org/news-and-events/news/2023/10/brazil-adopts-issb-global-baseline/" TargetMode="External"/><Relationship Id="rId32" Type="http://schemas.openxmlformats.org/officeDocument/2006/relationships/hyperlink" Target="https://www.reuters.com/sustainability/land-use-biodiversity/comment-sec-has-failed-protect-investors-climate-risk-now-its-up-congress-2024-04-08/" TargetMode="External"/><Relationship Id="rId37" Type="http://schemas.openxmlformats.org/officeDocument/2006/relationships/hyperlink" Target="https://forestsandfinance.org/wp-content/uploads/2023/12/BOBC_2023_vF.pdf" TargetMode="External"/><Relationship Id="rId40" Type="http://schemas.openxmlformats.org/officeDocument/2006/relationships/hyperlink" Target="https://globalforestcoalition.org/tnfdblog/" TargetMode="External"/><Relationship Id="rId45" Type="http://schemas.openxmlformats.org/officeDocument/2006/relationships/hyperlink" Target="https://www.ran.org/forest-frontlines/exposing-royal-golden-eagle-groups-sprawling-empire-of-destruction/" TargetMode="External"/><Relationship Id="rId53" Type="http://schemas.openxmlformats.org/officeDocument/2006/relationships/hyperlink" Target="https://unearthed.greenpeace.org/2020/11/25/cargill-deforestation-agriculture-history-pollution/" TargetMode="External"/><Relationship Id="rId58" Type="http://schemas.openxmlformats.org/officeDocument/2006/relationships/hyperlink" Target="https://reporterbrasil.org.br/2024/04/parakana-cobra-bndes-reflorestamento-apyterewa/" TargetMode="External"/><Relationship Id="rId66" Type="http://schemas.openxmlformats.org/officeDocument/2006/relationships/hyperlink" Target="https://infoamazonia.org/2023/06/29/grupo-casino-continua-vendendo-carne-proveniente-da-terra-indigena-uru-eu-wau-wau-apesar-de-processo-judicial-na-franca/" TargetMode="External"/><Relationship Id="rId74" Type="http://schemas.openxmlformats.org/officeDocument/2006/relationships/hyperlink" Target="https://www.ran.org/issue/biodiversity-earths-million-piece-puzzle/" TargetMode="External"/><Relationship Id="rId5" Type="http://schemas.openxmlformats.org/officeDocument/2006/relationships/hyperlink" Target="https://www.ran.org/" TargetMode="External"/><Relationship Id="rId61" Type="http://schemas.openxmlformats.org/officeDocument/2006/relationships/hyperlink" Target="https://www.globalwitness.org/en/campaigns/forests/cash-cow/" TargetMode="External"/><Relationship Id="rId19" Type="http://schemas.openxmlformats.org/officeDocument/2006/relationships/hyperlink" Target="https://forestsandfinance.org/wp-content/uploads/2023/12/BOBC_2023_vF.pdf" TargetMode="External"/><Relationship Id="rId14" Type="http://schemas.openxmlformats.org/officeDocument/2006/relationships/hyperlink" Target="https://www.unep.org/resources/kunming-montreal-global-biodiversity-framework" TargetMode="External"/><Relationship Id="rId22" Type="http://schemas.openxmlformats.org/officeDocument/2006/relationships/hyperlink" Target="https://forestsandfinance.org/news/brazil-excludes-factory-farming-from-its-new-sustainable-bond-framework/" TargetMode="External"/><Relationship Id="rId27" Type="http://schemas.openxmlformats.org/officeDocument/2006/relationships/hyperlink" Target="https://www.climatepolicyinitiative.org/publication/the-next-phase-of-indonesia-green-taxonomy-transition-finance-to-support-decarbonization/" TargetMode="External"/><Relationship Id="rId30" Type="http://schemas.openxmlformats.org/officeDocument/2006/relationships/hyperlink" Target="https://www.bnm.gov.my/-/climate-change-principle-based-taxonomy" TargetMode="External"/><Relationship Id="rId35" Type="http://schemas.openxmlformats.org/officeDocument/2006/relationships/hyperlink" Target="https://finance.ec.europa.eu/publications/sustainable-finance-package-2023_en" TargetMode="External"/><Relationship Id="rId43" Type="http://schemas.openxmlformats.org/officeDocument/2006/relationships/hyperlink" Target="https://forestsandfinance.org/news/ngos-file-complaint-against-bnp-paribas/" TargetMode="External"/><Relationship Id="rId48" Type="http://schemas.openxmlformats.org/officeDocument/2006/relationships/hyperlink" Target="https://forestsandfinance.org/wp-content/uploads/2023/12/BOBC_2023_vF.pdf" TargetMode="External"/><Relationship Id="rId56" Type="http://schemas.openxmlformats.org/officeDocument/2006/relationships/hyperlink" Target="https://trase.earth/explore/supply-chain/brazil/beef?toolLayout=1&amp;countries=27&amp;commodities=46&amp;selectedRecolorBy=28&amp;selectedResizeBy=1370&amp;selectedColumnsIds=0_18-1_30-2_12-3_11&amp;chartType=sankey&amp;year=2020&amp;indicator=volume&amp;dimension=region_production_1&amp;dimension=exporter_group&amp;dimension=importer&amp;dimension=country_of_destination" TargetMode="External"/><Relationship Id="rId64" Type="http://schemas.openxmlformats.org/officeDocument/2006/relationships/hyperlink" Target="https://www.iatp.org/emissions-impossible-methane-edition" TargetMode="External"/><Relationship Id="rId69" Type="http://schemas.openxmlformats.org/officeDocument/2006/relationships/hyperlink" Target="https://www.banktrack.org/company/sinar_mas" TargetMode="External"/><Relationship Id="rId8" Type="http://schemas.openxmlformats.org/officeDocument/2006/relationships/hyperlink" Target="https://independentmediainstitute.org/earth-food-life/" TargetMode="External"/><Relationship Id="rId51" Type="http://schemas.openxmlformats.org/officeDocument/2006/relationships/hyperlink" Target="https://burninglegacy.org/evidence/analysis-by-reporter-brasil/" TargetMode="External"/><Relationship Id="rId72" Type="http://schemas.openxmlformats.org/officeDocument/2006/relationships/hyperlink" Target="https://www.ran.org/wp-content/uploads/2022/09/Rainforest-Action-Network-Leuser-Report-FINAL-WEB.pdf" TargetMode="External"/><Relationship Id="rId3" Type="http://schemas.openxmlformats.org/officeDocument/2006/relationships/settings" Target="settings.xml"/><Relationship Id="rId12" Type="http://schemas.openxmlformats.org/officeDocument/2006/relationships/hyperlink" Target="https://www.stockholmresilience.org/research/research-news/2023-09-13-all-planetary-boundaries-mapped-out-for-the-first-time-six-of-nine-crossed.html" TargetMode="External"/><Relationship Id="rId17" Type="http://schemas.openxmlformats.org/officeDocument/2006/relationships/hyperlink" Target="https://iopscience.iop.org/article/10.1088/1748-9326/ab0d41" TargetMode="External"/><Relationship Id="rId25" Type="http://schemas.openxmlformats.org/officeDocument/2006/relationships/hyperlink" Target="https://www.ojk.go.id/keuanganberkelanjutan/en/publication/detailsflibrary/2352/taksonomi-hijau-indonesia-edisi-1-0-2022" TargetMode="External"/><Relationship Id="rId33" Type="http://schemas.openxmlformats.org/officeDocument/2006/relationships/hyperlink" Target="https://www.reuters.com/sustainability/land-use-biodiversity/comment-sec-has-failed-protect-investors-climate-risk-now-its-up-congress-2024-04-08/" TargetMode="External"/><Relationship Id="rId38" Type="http://schemas.openxmlformats.org/officeDocument/2006/relationships/hyperlink" Target="https://tnfd.global/" TargetMode="External"/><Relationship Id="rId46" Type="http://schemas.openxmlformats.org/officeDocument/2006/relationships/hyperlink" Target="https://forestsandfinance.org/wp-content/uploads/2023/12/BOBC_2023_vF.pdf" TargetMode="External"/><Relationship Id="rId59" Type="http://schemas.openxmlformats.org/officeDocument/2006/relationships/hyperlink" Target="https://apnews.com/general-news-7cd768536da09ae6fde0e5df6f293997" TargetMode="External"/><Relationship Id="rId67" Type="http://schemas.openxmlformats.org/officeDocument/2006/relationships/hyperlink" Target="https://forestsandfinance.org/news/povo-parakana-cobra-bndes-por-reflorestamento-de-territorio-devastado-no-para/" TargetMode="External"/><Relationship Id="rId20" Type="http://schemas.openxmlformats.org/officeDocument/2006/relationships/hyperlink" Target="https://forestsandfinance.org/banking-on-biodiversity-collapse/" TargetMode="External"/><Relationship Id="rId41" Type="http://schemas.openxmlformats.org/officeDocument/2006/relationships/hyperlink" Target="https://forestsandfinance.org/wp-content/uploads/2023/12/BOBC_2023_vF.pdf" TargetMode="External"/><Relationship Id="rId54" Type="http://schemas.openxmlformats.org/officeDocument/2006/relationships/hyperlink" Target="https://forestsandfinance.org/wp-content/uploads/2023/12/BOBC_2023_vF.pdf" TargetMode="External"/><Relationship Id="rId62" Type="http://schemas.openxmlformats.org/officeDocument/2006/relationships/hyperlink" Target="https://www.iatp.org/emissions-impossible-methane-edition" TargetMode="External"/><Relationship Id="rId70" Type="http://schemas.openxmlformats.org/officeDocument/2006/relationships/hyperlink" Target="https://www.greenpeace.org/static/planet4-international-stateless/2023/10/5267ad2c-app-10-year-report_241023_rev.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bservatory.wiki/Laurel_Sutherlin" TargetMode="External"/><Relationship Id="rId15" Type="http://schemas.openxmlformats.org/officeDocument/2006/relationships/hyperlink" Target="https://forestsandfinance.org/banking-on-biodiversity-collapse/" TargetMode="External"/><Relationship Id="rId23" Type="http://schemas.openxmlformats.org/officeDocument/2006/relationships/hyperlink" Target="https://www.gov.br/tesouronacional/pt-br/divida-publica-federal/titulos-sustentaveis" TargetMode="External"/><Relationship Id="rId28" Type="http://schemas.openxmlformats.org/officeDocument/2006/relationships/hyperlink" Target="https://www.climatepolicyinitiative.org/publication/the-next-phase-of-indonesia-green-taxonomy-transition-finance-to-support-decarbonization" TargetMode="External"/><Relationship Id="rId36" Type="http://schemas.openxmlformats.org/officeDocument/2006/relationships/hyperlink" Target="https://www.birdlife.org/news/2022/09/14/press-release-ngos-walk-out-of-expert-taxonomy-group-over-lack-independence/" TargetMode="External"/><Relationship Id="rId49" Type="http://schemas.openxmlformats.org/officeDocument/2006/relationships/hyperlink" Target="https://forestsandfinance.org/wp-content/uploads/2023/12/BOBC_2023_vF.pdf" TargetMode="External"/><Relationship Id="rId57" Type="http://schemas.openxmlformats.org/officeDocument/2006/relationships/hyperlink" Target="https://www.iatp.org/emissions-impossible-methane-edition" TargetMode="External"/><Relationship Id="rId10" Type="http://schemas.openxmlformats.org/officeDocument/2006/relationships/hyperlink" Target="https://www.un.org/sustainabledevelopment/blog/2019/05/nature-decline-unprecedented-report/" TargetMode="External"/><Relationship Id="rId31" Type="http://schemas.openxmlformats.org/officeDocument/2006/relationships/hyperlink" Target="https://www.reuters.com/sustainability/land-use-biodiversity/comment-sec-has-failed-protect-investors-climate-risk-now-its-up-congress-2024-04-08/" TargetMode="External"/><Relationship Id="rId44" Type="http://schemas.openxmlformats.org/officeDocument/2006/relationships/hyperlink" Target="https://www.tuk.or.id/wp-content/uploads/TAIPAN_REF_03_061023.pdf" TargetMode="External"/><Relationship Id="rId52" Type="http://schemas.openxmlformats.org/officeDocument/2006/relationships/hyperlink" Target="https://burninglegacy.org/" TargetMode="External"/><Relationship Id="rId60" Type="http://schemas.openxmlformats.org/officeDocument/2006/relationships/hyperlink" Target="https://thecounter.org/jbs-price-fixing-settlement-meatpackers-52-million-antitrust/" TargetMode="External"/><Relationship Id="rId65" Type="http://schemas.openxmlformats.org/officeDocument/2006/relationships/hyperlink" Target="https://chainreactionresearch.com/wp-content/uploads/2020/08/JBS-CRR-Report.pdf" TargetMode="External"/><Relationship Id="rId73" Type="http://schemas.openxmlformats.org/officeDocument/2006/relationships/hyperlink" Target="https://www.ran.org/issue/biodiversity-earths-million-piece-puzzle/" TargetMode="External"/><Relationship Id="rId4" Type="http://schemas.openxmlformats.org/officeDocument/2006/relationships/webSettings" Target="webSettings.xml"/><Relationship Id="rId9" Type="http://schemas.openxmlformats.org/officeDocument/2006/relationships/hyperlink" Target="https://drive.google.com/drive/folders/13NNAgE3Bex78hwq069CMpx2FoLe7Xk_i?usp=sharing" TargetMode="External"/><Relationship Id="rId13" Type="http://schemas.openxmlformats.org/officeDocument/2006/relationships/hyperlink" Target="https://www.globalwitness.org/en/press-releases/almost-2000-land-and-environmental-defenders-killed-between-2012-and-2022-protecting-planet/" TargetMode="External"/><Relationship Id="rId18" Type="http://schemas.openxmlformats.org/officeDocument/2006/relationships/hyperlink" Target="https://forestsandfinance.org/wp-content/uploads/2023/12/BOBC_2023_vF.pdf" TargetMode="External"/><Relationship Id="rId39" Type="http://schemas.openxmlformats.org/officeDocument/2006/relationships/hyperlink" Target="https://forestsandfinance.org/tnfd/" TargetMode="External"/><Relationship Id="rId34" Type="http://schemas.openxmlformats.org/officeDocument/2006/relationships/hyperlink" Target="https://green-business.ec.europa.eu/deforestation-regulation-implementation_en" TargetMode="External"/><Relationship Id="rId50" Type="http://schemas.openxmlformats.org/officeDocument/2006/relationships/hyperlink" Target="https://burninglegacy.org/evidence/analysis-by-reporter-brasil/" TargetMode="External"/><Relationship Id="rId55" Type="http://schemas.openxmlformats.org/officeDocument/2006/relationships/hyperlink" Target="https://foe.org/resources/land-grabbing-and-ecocide/" TargetMode="External"/><Relationship Id="rId76" Type="http://schemas.openxmlformats.org/officeDocument/2006/relationships/theme" Target="theme/theme1.xml"/><Relationship Id="rId7" Type="http://schemas.openxmlformats.org/officeDocument/2006/relationships/hyperlink" Target="https://twitter.com/laurelsutherlin" TargetMode="External"/><Relationship Id="rId71" Type="http://schemas.openxmlformats.org/officeDocument/2006/relationships/hyperlink" Target="https://www.banktrack.org/company/asia_pulp_and_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3938</Words>
  <Characters>22450</Characters>
  <Application>Microsoft Office Word</Application>
  <DocSecurity>0</DocSecurity>
  <Lines>187</Lines>
  <Paragraphs>52</Paragraphs>
  <ScaleCrop>false</ScaleCrop>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2024-04-26T14:06:00Z</dcterms:created>
  <dcterms:modified xsi:type="dcterms:W3CDTF">2024-04-26T14:06:00Z</dcterms:modified>
</cp:coreProperties>
</file>