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Pacific Islanders’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Food-Sharing Customs Ensure Resiliency in Face of Disaster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Strong social networks foster resilience to food system shocks, both within and between </w:t>
      </w:r>
      <w:r w:rsidDel="00000000" w:rsidR="00000000" w:rsidRPr="00000000">
        <w:rPr>
          <w:rFonts w:ascii="Times New Roman" w:cs="Times New Roman" w:eastAsia="Times New Roman" w:hAnsi="Times New Roman"/>
          <w:sz w:val="28"/>
          <w:szCs w:val="28"/>
          <w:highlight w:val="white"/>
          <w:rtl w:val="0"/>
        </w:rPr>
        <w:t xml:space="preserve">Pacific Island communities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Stacy Jupiter, Teri Tuxson, Caroline Ferguson and Sangeeta Mangubhai</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tl w:val="0"/>
        </w:rPr>
      </w:r>
    </w:p>
    <w:p w:rsidR="00000000" w:rsidDel="00000000" w:rsidP="00000000" w:rsidRDefault="00000000" w:rsidRPr="00000000" w14:paraId="00000005">
      <w:pPr>
        <w:widowControl w:val="0"/>
        <w:spacing w:after="200" w:before="200"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Stacy Jupiter</w:t>
      </w:r>
      <w:r w:rsidDel="00000000" w:rsidR="00000000" w:rsidRPr="00000000">
        <w:rPr>
          <w:rFonts w:ascii="Times New Roman" w:cs="Times New Roman" w:eastAsia="Times New Roman" w:hAnsi="Times New Roman"/>
          <w:sz w:val="28"/>
          <w:szCs w:val="28"/>
          <w:highlight w:val="white"/>
          <w:rtl w:val="0"/>
        </w:rPr>
        <w:t xml:space="preserve"> is a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2019 MacArthur Fellow</w:t>
        </w:r>
      </w:hyperlink>
      <w:r w:rsidDel="00000000" w:rsidR="00000000" w:rsidRPr="00000000">
        <w:rPr>
          <w:rFonts w:ascii="Times New Roman" w:cs="Times New Roman" w:eastAsia="Times New Roman" w:hAnsi="Times New Roman"/>
          <w:sz w:val="28"/>
          <w:szCs w:val="28"/>
          <w:highlight w:val="white"/>
          <w:rtl w:val="0"/>
        </w:rPr>
        <w:t xml:space="preserve"> and the Melanesia regional director with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Wildlife Conservation Society</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6">
      <w:pPr>
        <w:widowControl w:val="0"/>
        <w:spacing w:after="200" w:before="200"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Teri Tuxson</w:t>
      </w:r>
      <w:r w:rsidDel="00000000" w:rsidR="00000000" w:rsidRPr="00000000">
        <w:rPr>
          <w:rFonts w:ascii="Times New Roman" w:cs="Times New Roman" w:eastAsia="Times New Roman" w:hAnsi="Times New Roman"/>
          <w:sz w:val="28"/>
          <w:szCs w:val="28"/>
          <w:highlight w:val="white"/>
          <w:rtl w:val="0"/>
        </w:rPr>
        <w:t xml:space="preserve"> is the assistant coordinator of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Locally Managed Marine Area Network</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7">
      <w:pPr>
        <w:widowControl w:val="0"/>
        <w:spacing w:after="200" w:before="200"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Caroline Ferguson</w:t>
      </w:r>
      <w:r w:rsidDel="00000000" w:rsidR="00000000" w:rsidRPr="00000000">
        <w:rPr>
          <w:rFonts w:ascii="Times New Roman" w:cs="Times New Roman" w:eastAsia="Times New Roman" w:hAnsi="Times New Roman"/>
          <w:sz w:val="28"/>
          <w:szCs w:val="28"/>
          <w:highlight w:val="white"/>
          <w:rtl w:val="0"/>
        </w:rPr>
        <w:t xml:space="preserve"> is a postdoctoral scholar at the University of California, Santa Barbara.</w:t>
      </w:r>
    </w:p>
    <w:p w:rsidR="00000000" w:rsidDel="00000000" w:rsidP="00000000" w:rsidRDefault="00000000" w:rsidRPr="00000000" w14:paraId="00000008">
      <w:pPr>
        <w:widowControl w:val="0"/>
        <w:spacing w:after="200" w:before="200"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Sangeeta Mangubhai</w:t>
      </w:r>
      <w:r w:rsidDel="00000000" w:rsidR="00000000" w:rsidRPr="00000000">
        <w:rPr>
          <w:rFonts w:ascii="Times New Roman" w:cs="Times New Roman" w:eastAsia="Times New Roman" w:hAnsi="Times New Roman"/>
          <w:sz w:val="28"/>
          <w:szCs w:val="28"/>
          <w:highlight w:val="white"/>
          <w:rtl w:val="0"/>
        </w:rPr>
        <w:t xml:space="preserve"> is a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2018 Pew marine fellow</w:t>
        </w:r>
      </w:hyperlink>
      <w:r w:rsidDel="00000000" w:rsidR="00000000" w:rsidRPr="00000000">
        <w:rPr>
          <w:rFonts w:ascii="Times New Roman" w:cs="Times New Roman" w:eastAsia="Times New Roman" w:hAnsi="Times New Roman"/>
          <w:sz w:val="28"/>
          <w:szCs w:val="28"/>
          <w:highlight w:val="white"/>
          <w:rtl w:val="0"/>
        </w:rPr>
        <w:t xml:space="preserve"> with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Talanoa Consulting</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A version of</w:t>
      </w:r>
      <w:r w:rsidDel="00000000" w:rsidR="00000000" w:rsidRPr="00000000">
        <w:rPr>
          <w:rFonts w:ascii="Times New Roman" w:cs="Times New Roman" w:eastAsia="Times New Roman" w:hAnsi="Times New Roman"/>
          <w:i w:val="1"/>
          <w:sz w:val="28"/>
          <w:szCs w:val="28"/>
          <w:rtl w:val="0"/>
        </w:rPr>
        <w:t xml:space="preserve"> this article first appeared on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Truthout</w:t>
        </w:r>
      </w:hyperlink>
      <w:r w:rsidDel="00000000" w:rsidR="00000000" w:rsidRPr="00000000">
        <w:rPr>
          <w:rFonts w:ascii="Times New Roman" w:cs="Times New Roman" w:eastAsia="Times New Roman" w:hAnsi="Times New Roman"/>
          <w:i w:val="1"/>
          <w:sz w:val="28"/>
          <w:szCs w:val="28"/>
          <w:rtl w:val="0"/>
        </w:rPr>
        <w:t xml:space="preserve"> and was produced in partnership with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Food, Environment, Economy, Indigenous Resistance, Community, Activism, Trade, </w:t>
      </w:r>
      <w:r w:rsidDel="00000000" w:rsidR="00000000" w:rsidRPr="00000000">
        <w:rPr>
          <w:rFonts w:ascii="Times New Roman" w:cs="Times New Roman" w:eastAsia="Times New Roman" w:hAnsi="Times New Roman"/>
          <w:sz w:val="28"/>
          <w:szCs w:val="28"/>
          <w:highlight w:val="white"/>
          <w:rtl w:val="0"/>
        </w:rPr>
        <w:t xml:space="preserve">Climate Change, History, Politics, Health Care, Science, </w:t>
      </w:r>
      <w:r w:rsidDel="00000000" w:rsidR="00000000" w:rsidRPr="00000000">
        <w:rPr>
          <w:rFonts w:ascii="Times New Roman" w:cs="Times New Roman" w:eastAsia="Times New Roman" w:hAnsi="Times New Roman"/>
          <w:sz w:val="28"/>
          <w:szCs w:val="28"/>
          <w:highlight w:val="white"/>
          <w:rtl w:val="0"/>
        </w:rPr>
        <w:t xml:space="preserve">Opinion, Asia, Oceania, Oceania/Papua New Guinea, Oceania/Palau, Oceania/Tonga, Oceania/Tuvalu, Oceania/Fiji, Oceania/Federated States of Micronesia, Oceania/Solomon Islands, Oceania/Samoa</w:t>
      </w:r>
    </w:p>
    <w:p w:rsidR="00000000" w:rsidDel="00000000" w:rsidP="00000000" w:rsidRDefault="00000000" w:rsidRPr="00000000" w14:paraId="0000000B">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Images:</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https://drive.google.com/drive/folders/1v8St2Er26Ppo6Q3BaRYa7U-QyoID2Xi0?usp=sharing</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caption</w:t>
      </w:r>
      <w:r w:rsidDel="00000000" w:rsidR="00000000" w:rsidRPr="00000000">
        <w:rPr>
          <w:rFonts w:ascii="Times New Roman" w:cs="Times New Roman" w:eastAsia="Times New Roman" w:hAnsi="Times New Roman"/>
          <w:sz w:val="28"/>
          <w:szCs w:val="28"/>
          <w:highlight w:val="white"/>
          <w:rtl w:val="0"/>
        </w:rPr>
        <w:t xml:space="preserve">s and </w:t>
      </w:r>
      <w:r w:rsidDel="00000000" w:rsidR="00000000" w:rsidRPr="00000000">
        <w:rPr>
          <w:rFonts w:ascii="Times New Roman" w:cs="Times New Roman" w:eastAsia="Times New Roman" w:hAnsi="Times New Roman"/>
          <w:sz w:val="28"/>
          <w:szCs w:val="28"/>
          <w:highlight w:val="white"/>
          <w:rtl w:val="0"/>
        </w:rPr>
        <w:t xml:space="preserve">credits</w:t>
      </w:r>
      <w:r w:rsidDel="00000000" w:rsidR="00000000" w:rsidRPr="00000000">
        <w:rPr>
          <w:rFonts w:ascii="Times New Roman" w:cs="Times New Roman" w:eastAsia="Times New Roman" w:hAnsi="Times New Roman"/>
          <w:sz w:val="28"/>
          <w:szCs w:val="28"/>
          <w:highlight w:val="white"/>
          <w:rtl w:val="0"/>
        </w:rPr>
        <w:t xml:space="preserve"> can be found in each image’s description field</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C">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D">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Pacific Islanders are no strangers to disasters. For millennia, island peoples have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coped</w:t>
        </w:r>
      </w:hyperlink>
      <w:r w:rsidDel="00000000" w:rsidR="00000000" w:rsidRPr="00000000">
        <w:rPr>
          <w:rFonts w:ascii="Times New Roman" w:cs="Times New Roman" w:eastAsia="Times New Roman" w:hAnsi="Times New Roman"/>
          <w:sz w:val="28"/>
          <w:szCs w:val="28"/>
          <w:highlight w:val="white"/>
          <w:rtl w:val="0"/>
        </w:rPr>
        <w:t xml:space="preserve"> with and adapted to disasters like tropical cyclones and tsunamis, as well as unpredictable shifts in precipitation patterns, leading to droughts and floods. </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Because most coastal communities across the Pacific region are found on low-lying atolls and narrow coastal margins, they are particularly vulnerable to—and adept at—coping with environmental </w:t>
      </w:r>
      <w:r w:rsidDel="00000000" w:rsidR="00000000" w:rsidRPr="00000000">
        <w:rPr>
          <w:rFonts w:ascii="Times New Roman" w:cs="Times New Roman" w:eastAsia="Times New Roman" w:hAnsi="Times New Roman"/>
          <w:sz w:val="28"/>
          <w:szCs w:val="28"/>
          <w:highlight w:val="white"/>
          <w:rtl w:val="0"/>
        </w:rPr>
        <w:t xml:space="preserve">extremes as a result of their adaptive cultural local practices and knowledge, which have made them more </w:t>
      </w:r>
      <w:r w:rsidDel="00000000" w:rsidR="00000000" w:rsidRPr="00000000">
        <w:rPr>
          <w:rFonts w:ascii="Times New Roman" w:cs="Times New Roman" w:eastAsia="Times New Roman" w:hAnsi="Times New Roman"/>
          <w:sz w:val="28"/>
          <w:szCs w:val="28"/>
          <w:highlight w:val="white"/>
          <w:rtl w:val="0"/>
        </w:rPr>
        <w:t xml:space="preserve">resilient</w:t>
      </w:r>
      <w:r w:rsidDel="00000000" w:rsidR="00000000" w:rsidRPr="00000000">
        <w:rPr>
          <w:rFonts w:ascii="Times New Roman" w:cs="Times New Roman" w:eastAsia="Times New Roman" w:hAnsi="Times New Roman"/>
          <w:sz w:val="28"/>
          <w:szCs w:val="28"/>
          <w:highlight w:val="white"/>
          <w:rtl w:val="0"/>
        </w:rPr>
        <w:t xml:space="preserve"> in the face of disasters.</w:t>
      </w:r>
      <w:r w:rsidDel="00000000" w:rsidR="00000000" w:rsidRPr="00000000">
        <w:rPr>
          <w:rtl w:val="0"/>
        </w:rPr>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subsistence practices especially helped rural Pacific Island communities cope through the early months of the </w:t>
      </w:r>
      <w:r w:rsidDel="00000000" w:rsidR="00000000" w:rsidRPr="00000000">
        <w:rPr>
          <w:rFonts w:ascii="Times New Roman" w:cs="Times New Roman" w:eastAsia="Times New Roman" w:hAnsi="Times New Roman"/>
          <w:sz w:val="28"/>
          <w:szCs w:val="28"/>
          <w:highlight w:val="white"/>
          <w:rtl w:val="0"/>
        </w:rPr>
        <w:t xml:space="preserve">COVID</w:t>
      </w:r>
      <w:r w:rsidDel="00000000" w:rsidR="00000000" w:rsidRPr="00000000">
        <w:rPr>
          <w:rFonts w:ascii="Times New Roman" w:cs="Times New Roman" w:eastAsia="Times New Roman" w:hAnsi="Times New Roman"/>
          <w:sz w:val="28"/>
          <w:szCs w:val="28"/>
          <w:highlight w:val="white"/>
          <w:rtl w:val="0"/>
        </w:rPr>
        <w:t xml:space="preserve">-19 pandemic in 2020. While many Pacific Island governments thwarted community transmission of the virus by closing international borders and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imposing</w:t>
        </w:r>
      </w:hyperlink>
      <w:r w:rsidDel="00000000" w:rsidR="00000000" w:rsidRPr="00000000">
        <w:rPr>
          <w:rFonts w:ascii="Times New Roman" w:cs="Times New Roman" w:eastAsia="Times New Roman" w:hAnsi="Times New Roman"/>
          <w:sz w:val="28"/>
          <w:szCs w:val="28"/>
          <w:highlight w:val="white"/>
          <w:rtl w:val="0"/>
        </w:rPr>
        <w:t xml:space="preserve"> restrictions on movement, these same measures created hardships through employment losses and supply chain disruptions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our recent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published in the journal Marine Policy</w:t>
      </w:r>
      <w:r w:rsidDel="00000000" w:rsidR="00000000" w:rsidRPr="00000000">
        <w:rPr>
          <w:rFonts w:ascii="Times New Roman" w:cs="Times New Roman" w:eastAsia="Times New Roman" w:hAnsi="Times New Roman"/>
          <w:sz w:val="28"/>
          <w:szCs w:val="28"/>
          <w:highlight w:val="white"/>
          <w:rtl w:val="0"/>
        </w:rPr>
        <w:t xml:space="preserve"> and</w:t>
      </w:r>
      <w:r w:rsidDel="00000000" w:rsidR="00000000" w:rsidRPr="00000000">
        <w:rPr>
          <w:rFonts w:ascii="Times New Roman" w:cs="Times New Roman" w:eastAsia="Times New Roman" w:hAnsi="Times New Roman"/>
          <w:sz w:val="28"/>
          <w:szCs w:val="28"/>
          <w:highlight w:val="white"/>
          <w:rtl w:val="0"/>
        </w:rPr>
        <w:t xml:space="preserve"> led by partners within </w:t>
      </w:r>
      <w:r w:rsidDel="00000000" w:rsidR="00000000" w:rsidRPr="00000000">
        <w:rPr>
          <w:rFonts w:ascii="Times New Roman" w:cs="Times New Roman" w:eastAsia="Times New Roman" w:hAnsi="Times New Roman"/>
          <w:sz w:val="28"/>
          <w:szCs w:val="28"/>
          <w:highlight w:val="white"/>
          <w:rtl w:val="0"/>
        </w:rPr>
        <w:t xml:space="preserve">Teri Tuxson’s</w:t>
      </w:r>
      <w:r w:rsidDel="00000000" w:rsidR="00000000" w:rsidRPr="00000000">
        <w:rPr>
          <w:rFonts w:ascii="Times New Roman" w:cs="Times New Roman" w:eastAsia="Times New Roman" w:hAnsi="Times New Roman"/>
          <w:sz w:val="28"/>
          <w:szCs w:val="28"/>
          <w:highlight w:val="white"/>
          <w:rtl w:val="0"/>
        </w:rPr>
        <w:t xml:space="preserve"> organization, the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Locally Managed Marine Area Network</w:t>
        </w:r>
      </w:hyperlink>
      <w:r w:rsidDel="00000000" w:rsidR="00000000" w:rsidRPr="00000000">
        <w:rPr>
          <w:rFonts w:ascii="Times New Roman" w:cs="Times New Roman" w:eastAsia="Times New Roman" w:hAnsi="Times New Roman"/>
          <w:sz w:val="28"/>
          <w:szCs w:val="28"/>
          <w:highlight w:val="white"/>
          <w:rtl w:val="0"/>
        </w:rPr>
        <w:t xml:space="preserve">, we</w:t>
      </w:r>
      <w:r w:rsidDel="00000000" w:rsidR="00000000" w:rsidRPr="00000000">
        <w:rPr>
          <w:rFonts w:ascii="Times New Roman" w:cs="Times New Roman" w:eastAsia="Times New Roman" w:hAnsi="Times New Roman"/>
          <w:sz w:val="28"/>
          <w:szCs w:val="28"/>
          <w:highlight w:val="white"/>
          <w:rtl w:val="0"/>
        </w:rPr>
        <w:t xml:space="preserve"> found that despite early concerns, Pacific Island communities across seven countries—Papua New Guinea, Palau, Tonga, Tuvalu, Fiji, the </w:t>
      </w:r>
      <w:r w:rsidDel="00000000" w:rsidR="00000000" w:rsidRPr="00000000">
        <w:rPr>
          <w:rFonts w:ascii="Times New Roman" w:cs="Times New Roman" w:eastAsia="Times New Roman" w:hAnsi="Times New Roman"/>
          <w:sz w:val="28"/>
          <w:szCs w:val="28"/>
          <w:highlight w:val="white"/>
          <w:rtl w:val="0"/>
        </w:rPr>
        <w:t xml:space="preserve">Federated States of Micronesia</w:t>
      </w:r>
      <w:r w:rsidDel="00000000" w:rsidR="00000000" w:rsidRPr="00000000">
        <w:rPr>
          <w:rFonts w:ascii="Times New Roman" w:cs="Times New Roman" w:eastAsia="Times New Roman" w:hAnsi="Times New Roman"/>
          <w:sz w:val="28"/>
          <w:szCs w:val="28"/>
          <w:highlight w:val="white"/>
          <w:rtl w:val="0"/>
        </w:rPr>
        <w:t xml:space="preserve"> and the </w:t>
      </w:r>
      <w:r w:rsidDel="00000000" w:rsidR="00000000" w:rsidRPr="00000000">
        <w:rPr>
          <w:rFonts w:ascii="Times New Roman" w:cs="Times New Roman" w:eastAsia="Times New Roman" w:hAnsi="Times New Roman"/>
          <w:sz w:val="28"/>
          <w:szCs w:val="28"/>
          <w:highlight w:val="white"/>
          <w:rtl w:val="0"/>
        </w:rPr>
        <w:t xml:space="preserve">Solomon Islands</w:t>
      </w:r>
      <w:r w:rsidDel="00000000" w:rsidR="00000000" w:rsidRPr="00000000">
        <w:rPr>
          <w:rFonts w:ascii="Times New Roman" w:cs="Times New Roman" w:eastAsia="Times New Roman" w:hAnsi="Times New Roman"/>
          <w:sz w:val="28"/>
          <w:szCs w:val="28"/>
          <w:highlight w:val="white"/>
          <w:rtl w:val="0"/>
        </w:rPr>
        <w:t xml:space="preserve">—remained relatively resilient through 2020, when some of the worst effects of the pandemic were being felt around the world. That’s because they were able to fall back on existing customs of food sharing and on their knowledge of food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production techniques</w:t>
        </w:r>
      </w:hyperlink>
      <w:r w:rsidDel="00000000" w:rsidR="00000000" w:rsidRPr="00000000">
        <w:rPr>
          <w:rFonts w:ascii="Times New Roman" w:cs="Times New Roman" w:eastAsia="Times New Roman" w:hAnsi="Times New Roman"/>
          <w:sz w:val="28"/>
          <w:szCs w:val="28"/>
          <w:highlight w:val="white"/>
          <w:rtl w:val="0"/>
        </w:rPr>
        <w:t xml:space="preserve"> to </w:t>
      </w:r>
      <w:r w:rsidDel="00000000" w:rsidR="00000000" w:rsidRPr="00000000">
        <w:rPr>
          <w:rFonts w:ascii="Times New Roman" w:cs="Times New Roman" w:eastAsia="Times New Roman" w:hAnsi="Times New Roman"/>
          <w:sz w:val="28"/>
          <w:szCs w:val="28"/>
          <w:highlight w:val="white"/>
          <w:rtl w:val="0"/>
        </w:rPr>
        <w:t xml:space="preserve">ensure food availability</w:t>
      </w:r>
      <w:r w:rsidDel="00000000" w:rsidR="00000000" w:rsidRPr="00000000">
        <w:rPr>
          <w:rFonts w:ascii="Times New Roman" w:cs="Times New Roman" w:eastAsia="Times New Roman" w:hAnsi="Times New Roman"/>
          <w:sz w:val="28"/>
          <w:szCs w:val="28"/>
          <w:highlight w:val="white"/>
          <w:rtl w:val="0"/>
        </w:rPr>
        <w:t xml:space="preserve"> during this period.</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Strong social networks among Pacific Islanders have long fostered resilience to food system shocks, both within and between island communities. Historically, relationships built during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ceremonial</w:t>
        </w:r>
      </w:hyperlink>
      <w:r w:rsidDel="00000000" w:rsidR="00000000" w:rsidRPr="00000000">
        <w:rPr>
          <w:rFonts w:ascii="Times New Roman" w:cs="Times New Roman" w:eastAsia="Times New Roman" w:hAnsi="Times New Roman"/>
          <w:sz w:val="28"/>
          <w:szCs w:val="28"/>
          <w:highlight w:val="white"/>
          <w:rtl w:val="0"/>
        </w:rPr>
        <w:t xml:space="preserve"> trade between islanders had the additional purpose of helping these communities to obtain or barter for goods needed during times of crop failure or disasters.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excellent example of this is the Kula ring, first described in 1922 by anthropologist Bronislaw Malinowski in his tome, </w:t>
      </w:r>
      <w:hyperlink r:id="rId20">
        <w:r w:rsidDel="00000000" w:rsidR="00000000" w:rsidRPr="00000000">
          <w:rPr>
            <w:rFonts w:ascii="Times New Roman" w:cs="Times New Roman" w:eastAsia="Times New Roman" w:hAnsi="Times New Roman"/>
            <w:i w:val="1"/>
            <w:color w:val="1155cc"/>
            <w:sz w:val="28"/>
            <w:szCs w:val="28"/>
            <w:highlight w:val="white"/>
            <w:u w:val="single"/>
            <w:rtl w:val="0"/>
          </w:rPr>
          <w:t xml:space="preserve">Argonauts of the Western Pacific</w:t>
        </w:r>
      </w:hyperlink>
      <w:r w:rsidDel="00000000" w:rsidR="00000000" w:rsidRPr="00000000">
        <w:rPr>
          <w:rFonts w:ascii="Times New Roman" w:cs="Times New Roman" w:eastAsia="Times New Roman" w:hAnsi="Times New Roman"/>
          <w:sz w:val="28"/>
          <w:szCs w:val="28"/>
          <w:highlight w:val="white"/>
          <w:rtl w:val="0"/>
        </w:rPr>
        <w:t xml:space="preserve">. The Kula ring refers to a traditional trade alliance joining communities of east New Guinea. The main purpose of the Kula ring was to reciprocally exchange two goods with local symbolic value—</w:t>
      </w:r>
      <w:r w:rsidDel="00000000" w:rsidR="00000000" w:rsidRPr="00000000">
        <w:rPr>
          <w:rFonts w:ascii="Times New Roman" w:cs="Times New Roman" w:eastAsia="Times New Roman" w:hAnsi="Times New Roman"/>
          <w:sz w:val="28"/>
          <w:szCs w:val="28"/>
          <w:highlight w:val="white"/>
          <w:rtl w:val="0"/>
        </w:rPr>
        <w:t xml:space="preserve">long, red shell necklaces called </w:t>
      </w:r>
      <w:r w:rsidDel="00000000" w:rsidR="00000000" w:rsidRPr="00000000">
        <w:rPr>
          <w:rFonts w:ascii="Times New Roman" w:cs="Times New Roman" w:eastAsia="Times New Roman" w:hAnsi="Times New Roman"/>
          <w:i w:val="1"/>
          <w:sz w:val="28"/>
          <w:szCs w:val="28"/>
          <w:highlight w:val="white"/>
          <w:rtl w:val="0"/>
        </w:rPr>
        <w:t xml:space="preserve">soulava</w:t>
      </w:r>
      <w:r w:rsidDel="00000000" w:rsidR="00000000" w:rsidRPr="00000000">
        <w:rPr>
          <w:rFonts w:ascii="Times New Roman" w:cs="Times New Roman" w:eastAsia="Times New Roman" w:hAnsi="Times New Roman"/>
          <w:sz w:val="28"/>
          <w:szCs w:val="28"/>
          <w:highlight w:val="white"/>
          <w:rtl w:val="0"/>
        </w:rPr>
        <w:t xml:space="preserve"> were traded for white shell bracelets called </w:t>
      </w:r>
      <w:r w:rsidDel="00000000" w:rsidR="00000000" w:rsidRPr="00000000">
        <w:rPr>
          <w:rFonts w:ascii="Times New Roman" w:cs="Times New Roman" w:eastAsia="Times New Roman" w:hAnsi="Times New Roman"/>
          <w:i w:val="1"/>
          <w:sz w:val="28"/>
          <w:szCs w:val="28"/>
          <w:highlight w:val="white"/>
          <w:rtl w:val="0"/>
        </w:rPr>
        <w:t xml:space="preserve">mwali</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Through this trade, other ordinary goods such as food items were also exchanged on the side, which solidified lasting relationships between groups that could provide assistance to each other to recover from disasters.</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type of food sharing ensured survival in these communities. In addition to trade alliances, other strategies promoted resilience via bet-hedging. Examples of this include crop diversification; surplus food production, preservation and storage; maintenance of </w:t>
      </w:r>
      <w:r w:rsidDel="00000000" w:rsidR="00000000" w:rsidRPr="00000000">
        <w:rPr>
          <w:rFonts w:ascii="Times New Roman" w:cs="Times New Roman" w:eastAsia="Times New Roman" w:hAnsi="Times New Roman"/>
          <w:sz w:val="28"/>
          <w:szCs w:val="28"/>
          <w:highlight w:val="white"/>
          <w:rtl w:val="0"/>
        </w:rPr>
        <w:t xml:space="preserve">tenure boundaries</w:t>
      </w:r>
      <w:r w:rsidDel="00000000" w:rsidR="00000000" w:rsidRPr="00000000">
        <w:rPr>
          <w:rFonts w:ascii="Times New Roman" w:cs="Times New Roman" w:eastAsia="Times New Roman" w:hAnsi="Times New Roman"/>
          <w:sz w:val="28"/>
          <w:szCs w:val="28"/>
          <w:highlight w:val="white"/>
          <w:rtl w:val="0"/>
        </w:rPr>
        <w:t xml:space="preserve"> (land or sea areas over which kinship groups control access and use of natural resources); and cooperation among family groups and clans under traditional governance hierarchies. Many of these practices are still in place today and are visible in communities that have been best able to weather impacts from natural disasters and sudden shocks.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example, Tropical Cyclone Ofa hit </w:t>
      </w:r>
      <w:r w:rsidDel="00000000" w:rsidR="00000000" w:rsidRPr="00000000">
        <w:rPr>
          <w:rFonts w:ascii="Times New Roman" w:cs="Times New Roman" w:eastAsia="Times New Roman" w:hAnsi="Times New Roman"/>
          <w:sz w:val="28"/>
          <w:szCs w:val="28"/>
          <w:highlight w:val="white"/>
          <w:rtl w:val="0"/>
        </w:rPr>
        <w:t xml:space="preserve">Samoa</w:t>
      </w:r>
      <w:r w:rsidDel="00000000" w:rsidR="00000000" w:rsidRPr="00000000">
        <w:rPr>
          <w:rFonts w:ascii="Times New Roman" w:cs="Times New Roman" w:eastAsia="Times New Roman" w:hAnsi="Times New Roman"/>
          <w:sz w:val="28"/>
          <w:szCs w:val="28"/>
          <w:highlight w:val="white"/>
          <w:rtl w:val="0"/>
        </w:rPr>
        <w:t xml:space="preserve"> in 1990. Although important cash crops such as coconut were severely affected during the cyclone, local communities </w:t>
      </w:r>
      <w:r w:rsidDel="00000000" w:rsidR="00000000" w:rsidRPr="00000000">
        <w:rPr>
          <w:rFonts w:ascii="Times New Roman" w:cs="Times New Roman" w:eastAsia="Times New Roman" w:hAnsi="Times New Roman"/>
          <w:sz w:val="28"/>
          <w:szCs w:val="28"/>
          <w:highlight w:val="white"/>
          <w:rtl w:val="0"/>
        </w:rPr>
        <w:t xml:space="preserve">maintained resilience through community cooperation and cohesiveness, including through food exchange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 some cases, village chiefs instructed farmers to plant fast-growing crops on available communal lands. Meanwhile, several villages revived the fading practice of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pit fermentation of breadfruit</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immediately following the cyclones </w:t>
      </w:r>
      <w:r w:rsidDel="00000000" w:rsidR="00000000" w:rsidRPr="00000000">
        <w:rPr>
          <w:rFonts w:ascii="Times New Roman" w:cs="Times New Roman" w:eastAsia="Times New Roman" w:hAnsi="Times New Roman"/>
          <w:sz w:val="28"/>
          <w:szCs w:val="28"/>
          <w:highlight w:val="white"/>
          <w:rtl w:val="0"/>
        </w:rPr>
        <w:t xml:space="preserve">to maintain a steady food supply</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carrying out surveys for the Marine Policy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we also found that rural communities in Papua New Guinea who were simultaneously affected in 2020 by both the pandemic hardships and a severe drought turned to bartering for goods between communities and relying on </w:t>
      </w:r>
      <w:r w:rsidDel="00000000" w:rsidR="00000000" w:rsidRPr="00000000">
        <w:rPr>
          <w:rFonts w:ascii="Times New Roman" w:cs="Times New Roman" w:eastAsia="Times New Roman" w:hAnsi="Times New Roman"/>
          <w:sz w:val="28"/>
          <w:szCs w:val="28"/>
          <w:highlight w:val="white"/>
          <w:rtl w:val="0"/>
        </w:rPr>
        <w:t xml:space="preserve">sago</w:t>
      </w:r>
      <w:r w:rsidDel="00000000" w:rsidR="00000000" w:rsidRPr="00000000">
        <w:rPr>
          <w:rFonts w:ascii="Times New Roman" w:cs="Times New Roman" w:eastAsia="Times New Roman" w:hAnsi="Times New Roman"/>
          <w:sz w:val="28"/>
          <w:szCs w:val="28"/>
          <w:highlight w:val="white"/>
          <w:rtl w:val="0"/>
        </w:rPr>
        <w:t xml:space="preserve"> palm production to supplement agricultural activities.</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man from Palau who responded to our survey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noted</w:t>
        </w:r>
      </w:hyperlink>
      <w:r w:rsidDel="00000000" w:rsidR="00000000" w:rsidRPr="00000000">
        <w:rPr>
          <w:rFonts w:ascii="Times New Roman" w:cs="Times New Roman" w:eastAsia="Times New Roman" w:hAnsi="Times New Roman"/>
          <w:sz w:val="28"/>
          <w:szCs w:val="28"/>
          <w:highlight w:val="white"/>
          <w:rtl w:val="0"/>
        </w:rPr>
        <w:t xml:space="preserve">, “It is part of our culture to share food with others,” adding that he and other fishermen “started sharing more than we normally do because we couldn’t sell our catch, especially when </w:t>
      </w:r>
      <w:r w:rsidDel="00000000" w:rsidR="00000000" w:rsidRPr="00000000">
        <w:rPr>
          <w:rFonts w:ascii="Times New Roman" w:cs="Times New Roman" w:eastAsia="Times New Roman" w:hAnsi="Times New Roman"/>
          <w:sz w:val="28"/>
          <w:szCs w:val="28"/>
          <w:highlight w:val="white"/>
          <w:rtl w:val="0"/>
        </w:rPr>
        <w:t xml:space="preserve">COVID</w:t>
      </w:r>
      <w:r w:rsidDel="00000000" w:rsidR="00000000" w:rsidRPr="00000000">
        <w:rPr>
          <w:rFonts w:ascii="Times New Roman" w:cs="Times New Roman" w:eastAsia="Times New Roman" w:hAnsi="Times New Roman"/>
          <w:sz w:val="28"/>
          <w:szCs w:val="28"/>
          <w:highlight w:val="white"/>
          <w:rtl w:val="0"/>
        </w:rPr>
        <w:t xml:space="preserve">-19 started, and there were no tourists coming.”</w:t>
      </w:r>
      <w:r w:rsidDel="00000000" w:rsidR="00000000" w:rsidRPr="00000000">
        <w:rPr>
          <w:rtl w:val="0"/>
        </w:rPr>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Fiji, where many villages were battered by Tropical Cyclone Harold in early April 2020 just before the government imposed </w:t>
      </w:r>
      <w:r w:rsidDel="00000000" w:rsidR="00000000" w:rsidRPr="00000000">
        <w:rPr>
          <w:rFonts w:ascii="Times New Roman" w:cs="Times New Roman" w:eastAsia="Times New Roman" w:hAnsi="Times New Roman"/>
          <w:sz w:val="28"/>
          <w:szCs w:val="28"/>
          <w:highlight w:val="white"/>
          <w:rtl w:val="0"/>
        </w:rPr>
        <w:t xml:space="preserve">pandemic-related</w:t>
      </w:r>
      <w:r w:rsidDel="00000000" w:rsidR="00000000" w:rsidRPr="00000000">
        <w:rPr>
          <w:rFonts w:ascii="Times New Roman" w:cs="Times New Roman" w:eastAsia="Times New Roman" w:hAnsi="Times New Roman"/>
          <w:sz w:val="28"/>
          <w:szCs w:val="28"/>
          <w:highlight w:val="white"/>
          <w:rtl w:val="0"/>
        </w:rPr>
        <w:t xml:space="preserve"> travel restrictions, a female respondent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that</w:t>
      </w:r>
      <w:r w:rsidDel="00000000" w:rsidR="00000000" w:rsidRPr="00000000">
        <w:rPr>
          <w:rFonts w:ascii="Times New Roman" w:cs="Times New Roman" w:eastAsia="Times New Roman" w:hAnsi="Times New Roman"/>
          <w:sz w:val="28"/>
          <w:szCs w:val="28"/>
          <w:highlight w:val="white"/>
          <w:rtl w:val="0"/>
        </w:rPr>
        <w:t xml:space="preserve">, “Some farms were affected during the cyclone and, on top of that, we couldn’t go to town to buy groceries because of travel restrictions. So, we were depending on seafood.”</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sentiments were heard consistently across the Pacific, where rural residents fell back on their knowledge of salting fish, tending taro patches, and using ancestral techniques and methods handed down by previous generations.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Disasters in the Pacific region are inevitable. The eruption on January 15 of the Hunga Tonga-Hunga Ha’apai volcano, with more power than an atomic bomb,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created</w:t>
        </w:r>
      </w:hyperlink>
      <w:r w:rsidDel="00000000" w:rsidR="00000000" w:rsidRPr="00000000">
        <w:rPr>
          <w:rFonts w:ascii="Times New Roman" w:cs="Times New Roman" w:eastAsia="Times New Roman" w:hAnsi="Times New Roman"/>
          <w:sz w:val="28"/>
          <w:szCs w:val="28"/>
          <w:highlight w:val="white"/>
          <w:rtl w:val="0"/>
        </w:rPr>
        <w:t xml:space="preserve"> a tsunami that was felt as far away as Japan and California. Moreover, it had a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devastating</w:t>
        </w:r>
      </w:hyperlink>
      <w:r w:rsidDel="00000000" w:rsidR="00000000" w:rsidRPr="00000000">
        <w:rPr>
          <w:rFonts w:ascii="Times New Roman" w:cs="Times New Roman" w:eastAsia="Times New Roman" w:hAnsi="Times New Roman"/>
          <w:sz w:val="28"/>
          <w:szCs w:val="28"/>
          <w:highlight w:val="white"/>
          <w:rtl w:val="0"/>
        </w:rPr>
        <w:t xml:space="preserve"> impact </w:t>
      </w:r>
      <w:r w:rsidDel="00000000" w:rsidR="00000000" w:rsidRPr="00000000">
        <w:rPr>
          <w:rFonts w:ascii="Times New Roman" w:cs="Times New Roman" w:eastAsia="Times New Roman" w:hAnsi="Times New Roman"/>
          <w:sz w:val="28"/>
          <w:szCs w:val="28"/>
          <w:highlight w:val="white"/>
          <w:rtl w:val="0"/>
        </w:rPr>
        <w:t xml:space="preserve">on</w:t>
      </w:r>
      <w:r w:rsidDel="00000000" w:rsidR="00000000" w:rsidRPr="00000000">
        <w:rPr>
          <w:rFonts w:ascii="Times New Roman" w:cs="Times New Roman" w:eastAsia="Times New Roman" w:hAnsi="Times New Roman"/>
          <w:sz w:val="28"/>
          <w:szCs w:val="28"/>
          <w:highlight w:val="white"/>
          <w:rtl w:val="0"/>
        </w:rPr>
        <w:t xml:space="preserve"> infrastructure in the low-lying islands of Tonga and destroyed crops through ash fall.</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 signs of resilience are already showing. </w:t>
      </w:r>
      <w:r w:rsidDel="00000000" w:rsidR="00000000" w:rsidRPr="00000000">
        <w:rPr>
          <w:rFonts w:ascii="Times New Roman" w:cs="Times New Roman" w:eastAsia="Times New Roman" w:hAnsi="Times New Roman"/>
          <w:sz w:val="28"/>
          <w:szCs w:val="28"/>
          <w:highlight w:val="white"/>
          <w:rtl w:val="0"/>
        </w:rPr>
        <w:t xml:space="preserve">Tongan communities around Oceania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have galvanized</w:t>
        </w:r>
      </w:hyperlink>
      <w:r w:rsidDel="00000000" w:rsidR="00000000" w:rsidRPr="00000000">
        <w:rPr>
          <w:rFonts w:ascii="Times New Roman" w:cs="Times New Roman" w:eastAsia="Times New Roman" w:hAnsi="Times New Roman"/>
          <w:sz w:val="28"/>
          <w:szCs w:val="28"/>
          <w:highlight w:val="white"/>
          <w:rtl w:val="0"/>
        </w:rPr>
        <w:t xml:space="preserve"> to organize shipments of food supplies and aid—demonstrating the strength of social networks that can be nearly instantaneously activated.</w:t>
      </w:r>
      <w:r w:rsidDel="00000000" w:rsidR="00000000" w:rsidRPr="00000000">
        <w:rPr>
          <w:rFonts w:ascii="Times New Roman" w:cs="Times New Roman" w:eastAsia="Times New Roman" w:hAnsi="Times New Roman"/>
          <w:sz w:val="28"/>
          <w:szCs w:val="28"/>
          <w:highlight w:val="white"/>
          <w:rtl w:val="0"/>
        </w:rPr>
        <w:t xml:space="preserve"> In the weeks and months ahead, customs of food sharing and knowledge of food preservation will most certainly be put to use to get communities through this time of hardship.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outledge.com/Argonauts-of-the-Western-Pacific/Malinowski/p/book/9780415738644" TargetMode="External"/><Relationship Id="rId22" Type="http://schemas.openxmlformats.org/officeDocument/2006/relationships/hyperlink" Target="https://www.sciencedirect.com/science/article/pii/S0308597X2200001X" TargetMode="External"/><Relationship Id="rId21" Type="http://schemas.openxmlformats.org/officeDocument/2006/relationships/hyperlink" Target="https://cms.ctahr.hawaii.edu/Portals/159/Images/Resources/IslandStapleFoods/3%20BREADFRUIT%20web.pdf" TargetMode="External"/><Relationship Id="rId24" Type="http://schemas.openxmlformats.org/officeDocument/2006/relationships/hyperlink" Target="https://www.sciencedirect.com/science/article/pii/S0308597X2200001X" TargetMode="External"/><Relationship Id="rId23" Type="http://schemas.openxmlformats.org/officeDocument/2006/relationships/hyperlink" Target="https://www.sciencedirect.com/science/article/pii/S0308597X2200001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ewtrusts.org/en/projects/marine-fellows/fellows-directory/2018/sangeeta-mangubhai" TargetMode="External"/><Relationship Id="rId26" Type="http://schemas.openxmlformats.org/officeDocument/2006/relationships/hyperlink" Target="https://www.nytimes.com/interactive/2022/04/14/upshot/tonga-pressure-wave.html" TargetMode="External"/><Relationship Id="rId25" Type="http://schemas.openxmlformats.org/officeDocument/2006/relationships/hyperlink" Target="https://www.quantamagazine.org/scientists-unravel-how-the-tonga-volcano-caused-worldwide-tsunamis-20220413/" TargetMode="External"/><Relationship Id="rId27" Type="http://schemas.openxmlformats.org/officeDocument/2006/relationships/hyperlink" Target="https://www.fijivillage.com/news/Fiji-sends-11-40ft-containers-of-relief-assistance-to-Tonga-8f4x5r/" TargetMode="External"/><Relationship Id="rId5" Type="http://schemas.openxmlformats.org/officeDocument/2006/relationships/styles" Target="styles.xml"/><Relationship Id="rId6" Type="http://schemas.openxmlformats.org/officeDocument/2006/relationships/hyperlink" Target="https://www.macfound.org/fellows/class-of-2019/stacy-jupiter" TargetMode="External"/><Relationship Id="rId7" Type="http://schemas.openxmlformats.org/officeDocument/2006/relationships/hyperlink" Target="https://www.wcs.org/our-work/regions/melanesia" TargetMode="External"/><Relationship Id="rId8" Type="http://schemas.openxmlformats.org/officeDocument/2006/relationships/hyperlink" Target="https://lmmanetwork.org/" TargetMode="External"/><Relationship Id="rId11" Type="http://schemas.openxmlformats.org/officeDocument/2006/relationships/hyperlink" Target="https://truthout.org/articles/pacific-islanders-food-sharing-customs-ensure-resiliency-in-face-of-disaster/" TargetMode="External"/><Relationship Id="rId10" Type="http://schemas.openxmlformats.org/officeDocument/2006/relationships/hyperlink" Target="https://www.talanoa-consulting-fiji.com/" TargetMode="External"/><Relationship Id="rId13" Type="http://schemas.openxmlformats.org/officeDocument/2006/relationships/hyperlink" Target="https://drive.google.com/drive/folders/1v8St2Er26Ppo6Q3BaRYa7U-QyoID2Xi0?usp=sharing" TargetMode="External"/><Relationship Id="rId12" Type="http://schemas.openxmlformats.org/officeDocument/2006/relationships/hyperlink" Target="https://independentmediainstitute.org/earth-food-life/" TargetMode="External"/><Relationship Id="rId15" Type="http://schemas.openxmlformats.org/officeDocument/2006/relationships/hyperlink" Target="https://www.ncbi.nlm.nih.gov/pmc/articles/PMC7432527/" TargetMode="External"/><Relationship Id="rId14" Type="http://schemas.openxmlformats.org/officeDocument/2006/relationships/hyperlink" Target="https://pubdocs.worldbank.org/en/720371469614841726/PACIFIC-POSSIBLE-Climate.pdf" TargetMode="External"/><Relationship Id="rId17" Type="http://schemas.openxmlformats.org/officeDocument/2006/relationships/hyperlink" Target="https://lmmanetwork.org/about-us/" TargetMode="External"/><Relationship Id="rId16" Type="http://schemas.openxmlformats.org/officeDocument/2006/relationships/hyperlink" Target="https://www.sciencedirect.com/science/article/pii/S0308597X2200001X" TargetMode="External"/><Relationship Id="rId19" Type="http://schemas.openxmlformats.org/officeDocument/2006/relationships/hyperlink" Target="https://www.ecologyandsociety.org/vol19/iss4/art44/#introduction2" TargetMode="External"/><Relationship Id="rId18" Type="http://schemas.openxmlformats.org/officeDocument/2006/relationships/hyperlink" Target="https://www.sciencedirect.com/science/article/pii/S0308597X220000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