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77FA4" w:rsidRDefault="00952F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Food Industry Puts Profits Over Public Health Using Big Tobacco’s Playbook</w:t>
      </w:r>
    </w:p>
    <w:p w14:paraId="00000002" w14:textId="77777777" w:rsidR="00077FA4" w:rsidRDefault="00952F2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In certain cases, preemption—when a higher level of government limits the authority of a lower level to enact new policies—can devastate public health.</w:t>
      </w:r>
    </w:p>
    <w:p w14:paraId="00000003" w14:textId="77777777" w:rsidR="00077FA4" w:rsidRDefault="00952F2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Gigi Kellett</w:t>
      </w:r>
    </w:p>
    <w:p w14:paraId="00000004" w14:textId="77777777" w:rsidR="00077FA4" w:rsidRDefault="00952F20">
      <w:pPr>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hyperlink r:id="rId4">
        <w:r>
          <w:rPr>
            <w:rFonts w:ascii="Times New Roman" w:eastAsia="Times New Roman" w:hAnsi="Times New Roman" w:cs="Times New Roman"/>
            <w:color w:val="1155CC"/>
            <w:sz w:val="28"/>
            <w:szCs w:val="28"/>
            <w:highlight w:val="white"/>
            <w:u w:val="single"/>
          </w:rPr>
          <w:t>Gigi Kellett</w:t>
        </w:r>
      </w:hyperlink>
      <w:r>
        <w:rPr>
          <w:rFonts w:ascii="Times New Roman" w:eastAsia="Times New Roman" w:hAnsi="Times New Roman" w:cs="Times New Roman"/>
          <w:sz w:val="28"/>
          <w:szCs w:val="28"/>
          <w:highlight w:val="white"/>
        </w:rPr>
        <w:t xml:space="preserve"> is managing director for </w:t>
      </w:r>
      <w:hyperlink r:id="rId5">
        <w:r>
          <w:rPr>
            <w:rFonts w:ascii="Times New Roman" w:eastAsia="Times New Roman" w:hAnsi="Times New Roman" w:cs="Times New Roman"/>
            <w:color w:val="1155CC"/>
            <w:sz w:val="28"/>
            <w:szCs w:val="28"/>
            <w:highlight w:val="white"/>
            <w:u w:val="single"/>
          </w:rPr>
          <w:t>Corporate Accountability</w:t>
        </w:r>
      </w:hyperlink>
      <w:r>
        <w:rPr>
          <w:rFonts w:ascii="Times New Roman" w:eastAsia="Times New Roman" w:hAnsi="Times New Roman" w:cs="Times New Roman"/>
          <w:sz w:val="28"/>
          <w:szCs w:val="28"/>
          <w:highlight w:val="white"/>
        </w:rPr>
        <w:t>, an organization that for more than 40 years has stopped transnational corporations from devastating democracy, trampling human rights and destroying our planet.</w:t>
      </w:r>
    </w:p>
    <w:p w14:paraId="00000005" w14:textId="77777777" w:rsidR="00077FA4" w:rsidRDefault="00952F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077FA4" w:rsidRDefault="00952F20">
      <w:pPr>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first appeared on </w:t>
      </w:r>
      <w:hyperlink r:id="rId6">
        <w:r>
          <w:rPr>
            <w:rFonts w:ascii="Times New Roman" w:eastAsia="Times New Roman" w:hAnsi="Times New Roman" w:cs="Times New Roman"/>
            <w:i/>
            <w:color w:val="1155CC"/>
            <w:sz w:val="28"/>
            <w:szCs w:val="28"/>
            <w:u w:val="single"/>
          </w:rPr>
          <w:t>Truthout</w:t>
        </w:r>
      </w:hyperlink>
      <w:r>
        <w:rPr>
          <w:rFonts w:ascii="Times New Roman" w:eastAsia="Times New Roman" w:hAnsi="Times New Roman" w:cs="Times New Roman"/>
          <w:i/>
          <w:sz w:val="28"/>
          <w:szCs w:val="28"/>
        </w:rPr>
        <w:t xml:space="preserve"> and was produced in partnership with </w:t>
      </w:r>
      <w:hyperlink r:id="rId7">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2C46B849" w:rsidR="00077FA4" w:rsidRDefault="00952F2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Food, Health Care, </w:t>
      </w:r>
      <w:r w:rsidR="00A902BF">
        <w:rPr>
          <w:rFonts w:ascii="Times New Roman" w:eastAsia="Times New Roman" w:hAnsi="Times New Roman" w:cs="Times New Roman"/>
          <w:sz w:val="28"/>
          <w:szCs w:val="28"/>
          <w:highlight w:val="white"/>
        </w:rPr>
        <w:t xml:space="preserve">Politics, </w:t>
      </w:r>
      <w:r>
        <w:rPr>
          <w:rFonts w:ascii="Times New Roman" w:eastAsia="Times New Roman" w:hAnsi="Times New Roman" w:cs="Times New Roman"/>
          <w:sz w:val="28"/>
          <w:szCs w:val="28"/>
          <w:highlight w:val="white"/>
        </w:rPr>
        <w:t>History, North America/United States of America</w:t>
      </w:r>
    </w:p>
    <w:p w14:paraId="00000008" w14:textId="77777777" w:rsidR="00077FA4" w:rsidRDefault="00952F2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Images</w:t>
      </w:r>
      <w:r>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color w:val="1155CC"/>
            <w:sz w:val="28"/>
            <w:szCs w:val="28"/>
            <w:u w:val="single"/>
          </w:rPr>
          <w:t>https://drive.google.com/drive/folders/1PRiCfDvYa3S80pjKyyCI0kfGZJNVspEW?usp=sharing</w:t>
        </w:r>
      </w:hyperlink>
    </w:p>
    <w:p w14:paraId="00000009" w14:textId="77777777" w:rsidR="00077FA4" w:rsidRDefault="00077FA4">
      <w:pPr>
        <w:spacing w:before="200" w:after="200" w:line="276" w:lineRule="auto"/>
        <w:rPr>
          <w:rFonts w:ascii="Times New Roman" w:eastAsia="Times New Roman" w:hAnsi="Times New Roman" w:cs="Times New Roman"/>
          <w:b/>
          <w:sz w:val="28"/>
          <w:szCs w:val="28"/>
          <w:highlight w:val="white"/>
        </w:rPr>
      </w:pPr>
    </w:p>
    <w:p w14:paraId="0000000A" w14:textId="77777777" w:rsidR="00077FA4" w:rsidRDefault="00952F20">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Public health advocates were winning. City after city was </w:t>
      </w:r>
      <w:hyperlink r:id="rId9">
        <w:r>
          <w:rPr>
            <w:rFonts w:ascii="Times New Roman" w:eastAsia="Times New Roman" w:hAnsi="Times New Roman" w:cs="Times New Roman"/>
            <w:color w:val="880421"/>
            <w:sz w:val="28"/>
            <w:szCs w:val="28"/>
            <w:u w:val="single"/>
          </w:rPr>
          <w:t>innovating ways to reduce smoking</w:t>
        </w:r>
      </w:hyperlink>
      <w:r>
        <w:rPr>
          <w:rFonts w:ascii="Times New Roman" w:eastAsia="Times New Roman" w:hAnsi="Times New Roman" w:cs="Times New Roman"/>
          <w:color w:val="0A0A0A"/>
          <w:sz w:val="28"/>
          <w:szCs w:val="28"/>
        </w:rPr>
        <w:t xml:space="preserve"> and protect public health between the 1960s and 1970s. As former industry lobbyist Victor Crawford </w:t>
      </w:r>
      <w:hyperlink r:id="rId10">
        <w:r>
          <w:rPr>
            <w:rFonts w:ascii="Times New Roman" w:eastAsia="Times New Roman" w:hAnsi="Times New Roman" w:cs="Times New Roman"/>
            <w:color w:val="880421"/>
            <w:sz w:val="28"/>
            <w:szCs w:val="28"/>
            <w:u w:val="single"/>
          </w:rPr>
          <w:t>observed</w:t>
        </w:r>
      </w:hyperlink>
      <w:r>
        <w:rPr>
          <w:rFonts w:ascii="Times New Roman" w:eastAsia="Times New Roman" w:hAnsi="Times New Roman" w:cs="Times New Roman"/>
          <w:color w:val="0A0A0A"/>
          <w:sz w:val="28"/>
          <w:szCs w:val="28"/>
        </w:rPr>
        <w:t>, you’d “put out a fire one place, another one would pop up somewhere else.”</w:t>
      </w:r>
    </w:p>
    <w:p w14:paraId="0000000C"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But in the mid-1980s, this momentum stopped. </w:t>
      </w:r>
      <w:hyperlink r:id="rId11">
        <w:r>
          <w:rPr>
            <w:rFonts w:ascii="Times New Roman" w:eastAsia="Times New Roman" w:hAnsi="Times New Roman" w:cs="Times New Roman"/>
            <w:color w:val="880421"/>
            <w:sz w:val="28"/>
            <w:szCs w:val="28"/>
            <w:u w:val="single"/>
          </w:rPr>
          <w:t>Big Tobacco</w:t>
        </w:r>
      </w:hyperlink>
      <w:r>
        <w:rPr>
          <w:rFonts w:ascii="Times New Roman" w:eastAsia="Times New Roman" w:hAnsi="Times New Roman" w:cs="Times New Roman"/>
          <w:color w:val="0A0A0A"/>
          <w:sz w:val="28"/>
          <w:szCs w:val="28"/>
        </w:rPr>
        <w:t xml:space="preserve"> had discovered a way to reverse local gains. And according to a 2020 </w:t>
      </w:r>
      <w:hyperlink r:id="rId12">
        <w:r>
          <w:rPr>
            <w:rFonts w:ascii="Times New Roman" w:eastAsia="Times New Roman" w:hAnsi="Times New Roman" w:cs="Times New Roman"/>
            <w:color w:val="880421"/>
            <w:sz w:val="28"/>
            <w:szCs w:val="28"/>
            <w:u w:val="single"/>
          </w:rPr>
          <w:t>study in the American Journal of Public Health</w:t>
        </w:r>
      </w:hyperlink>
      <w:r>
        <w:rPr>
          <w:rFonts w:ascii="Times New Roman" w:eastAsia="Times New Roman" w:hAnsi="Times New Roman" w:cs="Times New Roman"/>
          <w:color w:val="0A0A0A"/>
          <w:sz w:val="28"/>
          <w:szCs w:val="28"/>
        </w:rPr>
        <w:t xml:space="preserve">, the industry’s counteroffensive has led to more </w:t>
      </w:r>
      <w:r>
        <w:rPr>
          <w:rFonts w:ascii="Times New Roman" w:eastAsia="Times New Roman" w:hAnsi="Times New Roman" w:cs="Times New Roman"/>
          <w:color w:val="0A0A0A"/>
          <w:sz w:val="28"/>
          <w:szCs w:val="28"/>
        </w:rPr>
        <w:lastRenderedPageBreak/>
        <w:t>disturbing and enduring ramifications for public health—and our democracy—than previously understood.</w:t>
      </w:r>
    </w:p>
    <w:p w14:paraId="0000000D"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strategy is called state or “ceiling” preemption: Promoting weaker state public health laws to override stronger local laws. </w:t>
      </w:r>
      <w:hyperlink r:id="rId13">
        <w:r>
          <w:rPr>
            <w:rFonts w:ascii="Times New Roman" w:eastAsia="Times New Roman" w:hAnsi="Times New Roman" w:cs="Times New Roman"/>
            <w:color w:val="880421"/>
            <w:sz w:val="28"/>
            <w:szCs w:val="28"/>
            <w:u w:val="single"/>
          </w:rPr>
          <w:t>Between 1986 and 1991, the tobacco industry rammed through seven state preemption laws</w:t>
        </w:r>
      </w:hyperlink>
      <w:r>
        <w:rPr>
          <w:rFonts w:ascii="Times New Roman" w:eastAsia="Times New Roman" w:hAnsi="Times New Roman" w:cs="Times New Roman"/>
          <w:color w:val="0A0A0A"/>
          <w:sz w:val="28"/>
          <w:szCs w:val="28"/>
        </w:rPr>
        <w:t>. In the following five years, the industry gained steam, foisting 17 additional preemption policies on states. Laws restricting youth access to tobacco products would be reversed or never see the light of day. Laws establishing smoke-free environments were overridden. Tobacco tax increases were stalled. Restrictions on tobacco retail licensing were loosened.</w:t>
      </w:r>
    </w:p>
    <w:p w14:paraId="0000000E"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Perhaps the </w:t>
      </w:r>
      <w:hyperlink r:id="rId14">
        <w:r>
          <w:rPr>
            <w:rFonts w:ascii="Times New Roman" w:eastAsia="Times New Roman" w:hAnsi="Times New Roman" w:cs="Times New Roman"/>
            <w:color w:val="880421"/>
            <w:sz w:val="28"/>
            <w:szCs w:val="28"/>
            <w:u w:val="single"/>
          </w:rPr>
          <w:t>study’s</w:t>
        </w:r>
      </w:hyperlink>
      <w:r>
        <w:rPr>
          <w:rFonts w:ascii="Times New Roman" w:eastAsia="Times New Roman" w:hAnsi="Times New Roman" w:cs="Times New Roman"/>
          <w:color w:val="0A0A0A"/>
          <w:sz w:val="28"/>
          <w:szCs w:val="28"/>
        </w:rPr>
        <w:t xml:space="preserve"> most concerning finding is that it takes an average of 11 years to repeal these laws—if they’re repealed at all. As of 2019, no preemption laws on youth access or tobacco marketing, and </w:t>
      </w:r>
      <w:hyperlink r:id="rId15">
        <w:r>
          <w:rPr>
            <w:rFonts w:ascii="Times New Roman" w:eastAsia="Times New Roman" w:hAnsi="Times New Roman" w:cs="Times New Roman"/>
            <w:color w:val="880421"/>
            <w:sz w:val="28"/>
            <w:szCs w:val="28"/>
            <w:u w:val="single"/>
          </w:rPr>
          <w:t>fewer than half of state preemption laws on smoke-free places, have been repealed</w:t>
        </w:r>
      </w:hyperlink>
      <w:r>
        <w:rPr>
          <w:rFonts w:ascii="Times New Roman" w:eastAsia="Times New Roman" w:hAnsi="Times New Roman" w:cs="Times New Roman"/>
          <w:color w:val="0A0A0A"/>
          <w:sz w:val="28"/>
          <w:szCs w:val="28"/>
        </w:rPr>
        <w:t xml:space="preserve">. The tobacco industry has a </w:t>
      </w:r>
      <w:hyperlink r:id="rId16">
        <w:r>
          <w:rPr>
            <w:rFonts w:ascii="Times New Roman" w:eastAsia="Times New Roman" w:hAnsi="Times New Roman" w:cs="Times New Roman"/>
            <w:color w:val="880421"/>
            <w:sz w:val="28"/>
            <w:szCs w:val="28"/>
            <w:u w:val="single"/>
          </w:rPr>
          <w:t>long-documented</w:t>
        </w:r>
      </w:hyperlink>
      <w:r>
        <w:rPr>
          <w:rFonts w:ascii="Times New Roman" w:eastAsia="Times New Roman" w:hAnsi="Times New Roman" w:cs="Times New Roman"/>
          <w:color w:val="0A0A0A"/>
          <w:sz w:val="28"/>
          <w:szCs w:val="28"/>
        </w:rPr>
        <w:t xml:space="preserve"> history of targeting people in low-income communities and communities of color with the very tactics—like children-targeted marketing—preemption laws sought to protect. Consider the costs to public health and progress—especially in Black communities and other communities of color—when scarce resources are bound-up in undoing bad policies versus securing new public health protections. The </w:t>
      </w:r>
      <w:hyperlink r:id="rId17" w:anchor=":~:text=The%20estimated%20number%20of%20smoking,(286%20deaths%20per%20100%2C000).">
        <w:r>
          <w:rPr>
            <w:rFonts w:ascii="Times New Roman" w:eastAsia="Times New Roman" w:hAnsi="Times New Roman" w:cs="Times New Roman"/>
            <w:color w:val="880421"/>
            <w:sz w:val="28"/>
            <w:szCs w:val="28"/>
            <w:u w:val="single"/>
          </w:rPr>
          <w:t>smoking-attributable mortality rate is 18 percent higher</w:t>
        </w:r>
      </w:hyperlink>
      <w:r>
        <w:rPr>
          <w:rFonts w:ascii="Times New Roman" w:eastAsia="Times New Roman" w:hAnsi="Times New Roman" w:cs="Times New Roman"/>
          <w:color w:val="0A0A0A"/>
          <w:sz w:val="28"/>
          <w:szCs w:val="28"/>
        </w:rPr>
        <w:t xml:space="preserve"> among Black Americans than for white, with </w:t>
      </w:r>
      <w:hyperlink r:id="rId18">
        <w:r>
          <w:rPr>
            <w:rFonts w:ascii="Times New Roman" w:eastAsia="Times New Roman" w:hAnsi="Times New Roman" w:cs="Times New Roman"/>
            <w:color w:val="880421"/>
            <w:sz w:val="28"/>
            <w:szCs w:val="28"/>
            <w:u w:val="single"/>
          </w:rPr>
          <w:t>disproportionate childhood exposure to second-hand smoke and target marketing of products</w:t>
        </w:r>
      </w:hyperlink>
      <w:r>
        <w:rPr>
          <w:rFonts w:ascii="Times New Roman" w:eastAsia="Times New Roman" w:hAnsi="Times New Roman" w:cs="Times New Roman"/>
          <w:color w:val="0A0A0A"/>
          <w:sz w:val="28"/>
          <w:szCs w:val="28"/>
        </w:rPr>
        <w:t xml:space="preserve"> such as menthol among the heightened risk factors for the Black community.</w:t>
      </w:r>
    </w:p>
    <w:p w14:paraId="0000000F"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The four tactics pursued by the tobacco industry are now being modeled across industries, such as the food and beverage sector, disproportionately affecting communities of color and exacerbating diet-related disease crises.</w:t>
      </w:r>
    </w:p>
    <w:p w14:paraId="00000010" w14:textId="77777777" w:rsidR="00077FA4" w:rsidRDefault="00952F20">
      <w:pPr>
        <w:spacing w:after="200" w:line="276" w:lineRule="auto"/>
        <w:rPr>
          <w:rFonts w:ascii="Times New Roman" w:eastAsia="Times New Roman" w:hAnsi="Times New Roman" w:cs="Times New Roman"/>
          <w:b/>
          <w:color w:val="0A0A0A"/>
          <w:sz w:val="28"/>
          <w:szCs w:val="28"/>
        </w:rPr>
      </w:pPr>
      <w:r>
        <w:rPr>
          <w:rFonts w:ascii="Times New Roman" w:eastAsia="Times New Roman" w:hAnsi="Times New Roman" w:cs="Times New Roman"/>
          <w:b/>
          <w:color w:val="0A0A0A"/>
          <w:sz w:val="28"/>
          <w:szCs w:val="28"/>
        </w:rPr>
        <w:t>Preemption Harms Consumers—and Workers</w:t>
      </w:r>
    </w:p>
    <w:p w14:paraId="00000011"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Coca-Cola, McDonald’s, and the larger food and beverage industry have already seen to the enactment of at </w:t>
      </w:r>
      <w:hyperlink r:id="rId19">
        <w:r>
          <w:rPr>
            <w:rFonts w:ascii="Times New Roman" w:eastAsia="Times New Roman" w:hAnsi="Times New Roman" w:cs="Times New Roman"/>
            <w:color w:val="880421"/>
            <w:sz w:val="28"/>
            <w:szCs w:val="28"/>
            <w:u w:val="single"/>
          </w:rPr>
          <w:t>least a dozen laws</w:t>
        </w:r>
      </w:hyperlink>
      <w:r>
        <w:rPr>
          <w:rFonts w:ascii="Times New Roman" w:eastAsia="Times New Roman" w:hAnsi="Times New Roman" w:cs="Times New Roman"/>
          <w:color w:val="0A0A0A"/>
          <w:sz w:val="28"/>
          <w:szCs w:val="28"/>
        </w:rPr>
        <w:t xml:space="preserve"> preempting local public health policies like soda taxes, product labeling and restrictions on junk food marketing to kids. This has allowed the industry to continue its </w:t>
      </w:r>
      <w:r>
        <w:rPr>
          <w:rFonts w:ascii="Times New Roman" w:eastAsia="Times New Roman" w:hAnsi="Times New Roman" w:cs="Times New Roman"/>
          <w:color w:val="0A0A0A"/>
          <w:sz w:val="28"/>
          <w:szCs w:val="28"/>
        </w:rPr>
        <w:lastRenderedPageBreak/>
        <w:t xml:space="preserve">racist marketing campaigns, </w:t>
      </w:r>
      <w:hyperlink r:id="rId20">
        <w:r>
          <w:rPr>
            <w:rFonts w:ascii="Times New Roman" w:eastAsia="Times New Roman" w:hAnsi="Times New Roman" w:cs="Times New Roman"/>
            <w:color w:val="880421"/>
            <w:sz w:val="28"/>
            <w:szCs w:val="28"/>
            <w:u w:val="single"/>
          </w:rPr>
          <w:t>target</w:t>
        </w:r>
      </w:hyperlink>
      <w:r>
        <w:rPr>
          <w:rFonts w:ascii="Times New Roman" w:eastAsia="Times New Roman" w:hAnsi="Times New Roman" w:cs="Times New Roman"/>
          <w:color w:val="0A0A0A"/>
          <w:sz w:val="28"/>
          <w:szCs w:val="28"/>
        </w:rPr>
        <w:t xml:space="preserve"> marketing to Black youth and other </w:t>
      </w:r>
      <w:hyperlink r:id="rId21">
        <w:r>
          <w:rPr>
            <w:rFonts w:ascii="Times New Roman" w:eastAsia="Times New Roman" w:hAnsi="Times New Roman" w:cs="Times New Roman"/>
            <w:color w:val="880421"/>
            <w:sz w:val="28"/>
            <w:szCs w:val="28"/>
            <w:u w:val="single"/>
          </w:rPr>
          <w:t>youth of color</w:t>
        </w:r>
      </w:hyperlink>
      <w:r>
        <w:rPr>
          <w:rFonts w:ascii="Times New Roman" w:eastAsia="Times New Roman" w:hAnsi="Times New Roman" w:cs="Times New Roman"/>
          <w:color w:val="0A0A0A"/>
          <w:sz w:val="28"/>
          <w:szCs w:val="28"/>
        </w:rPr>
        <w:t>. Understanding these tactics is key to undoing and preventing further proliferation of the industry’s preemption push.</w:t>
      </w:r>
    </w:p>
    <w:p w14:paraId="00000012" w14:textId="77777777" w:rsidR="00077FA4" w:rsidRDefault="00952F20">
      <w:pPr>
        <w:spacing w:after="200" w:line="276" w:lineRule="auto"/>
        <w:rPr>
          <w:rFonts w:ascii="Times New Roman" w:eastAsia="Times New Roman" w:hAnsi="Times New Roman" w:cs="Times New Roman"/>
          <w:b/>
          <w:i/>
          <w:color w:val="0A0A0A"/>
          <w:sz w:val="28"/>
          <w:szCs w:val="28"/>
        </w:rPr>
      </w:pPr>
      <w:r>
        <w:rPr>
          <w:rFonts w:ascii="Times New Roman" w:eastAsia="Times New Roman" w:hAnsi="Times New Roman" w:cs="Times New Roman"/>
          <w:b/>
          <w:i/>
          <w:color w:val="0A0A0A"/>
          <w:sz w:val="28"/>
          <w:szCs w:val="28"/>
        </w:rPr>
        <w:t>Lobbying</w:t>
      </w:r>
    </w:p>
    <w:p w14:paraId="00000013"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First, to give Big Tobacco’s political agenda credibility, tobacco giants like R.J. Reynolds Tobacco Company have invested heavily in trade associations and front groups to do their bidding, from so-called “smokers’ rights groups” to restaurant, hotel and gaming associations. Unsurprisingly, a similar cast—like state affiliates of the U.S. Chamber of Commerce and National Restaurant Association (NRA)—are again the muscle behind state preemption pushes to block new soda taxes, as well as critical policies to assure food worker health and well-being, such as new paid sick leave requirements and minimum wage increases. In recent months alone, </w:t>
      </w:r>
      <w:hyperlink r:id="rId22">
        <w:r>
          <w:rPr>
            <w:rFonts w:ascii="Times New Roman" w:eastAsia="Times New Roman" w:hAnsi="Times New Roman" w:cs="Times New Roman"/>
            <w:color w:val="880421"/>
            <w:sz w:val="28"/>
            <w:szCs w:val="28"/>
            <w:u w:val="single"/>
          </w:rPr>
          <w:t>the Texas Supreme Court has quashed (for now) city efforts to guarantee municipal paid sick leave</w:t>
        </w:r>
      </w:hyperlink>
      <w:r>
        <w:rPr>
          <w:rFonts w:ascii="Times New Roman" w:eastAsia="Times New Roman" w:hAnsi="Times New Roman" w:cs="Times New Roman"/>
          <w:color w:val="0A0A0A"/>
          <w:sz w:val="28"/>
          <w:szCs w:val="28"/>
        </w:rPr>
        <w:t xml:space="preserve">. The </w:t>
      </w:r>
      <w:hyperlink r:id="rId23">
        <w:r>
          <w:rPr>
            <w:rFonts w:ascii="Times New Roman" w:eastAsia="Times New Roman" w:hAnsi="Times New Roman" w:cs="Times New Roman"/>
            <w:color w:val="880421"/>
            <w:sz w:val="28"/>
            <w:szCs w:val="28"/>
            <w:u w:val="single"/>
          </w:rPr>
          <w:t>Minnesota Supreme Court ruled</w:t>
        </w:r>
      </w:hyperlink>
      <w:hyperlink r:id="rId24">
        <w:r>
          <w:rPr>
            <w:rFonts w:ascii="Times New Roman" w:eastAsia="Times New Roman" w:hAnsi="Times New Roman" w:cs="Times New Roman"/>
            <w:i/>
            <w:color w:val="880421"/>
            <w:sz w:val="28"/>
            <w:szCs w:val="28"/>
            <w:u w:val="single"/>
          </w:rPr>
          <w:t xml:space="preserve"> against</w:t>
        </w:r>
      </w:hyperlink>
      <w:hyperlink r:id="rId25">
        <w:r>
          <w:rPr>
            <w:rFonts w:ascii="Times New Roman" w:eastAsia="Times New Roman" w:hAnsi="Times New Roman" w:cs="Times New Roman"/>
            <w:color w:val="880421"/>
            <w:sz w:val="28"/>
            <w:szCs w:val="28"/>
            <w:u w:val="single"/>
          </w:rPr>
          <w:t xml:space="preserve"> the Minnesota Chamber of Commerce’s</w:t>
        </w:r>
      </w:hyperlink>
      <w:r>
        <w:rPr>
          <w:rFonts w:ascii="Times New Roman" w:eastAsia="Times New Roman" w:hAnsi="Times New Roman" w:cs="Times New Roman"/>
          <w:color w:val="0A0A0A"/>
          <w:sz w:val="28"/>
          <w:szCs w:val="28"/>
        </w:rPr>
        <w:t xml:space="preserve"> contention that Minneapolis’s paid sick leave requirements were preempted by state law. And </w:t>
      </w:r>
      <w:hyperlink r:id="rId26">
        <w:r>
          <w:rPr>
            <w:rFonts w:ascii="Times New Roman" w:eastAsia="Times New Roman" w:hAnsi="Times New Roman" w:cs="Times New Roman"/>
            <w:color w:val="880421"/>
            <w:sz w:val="28"/>
            <w:szCs w:val="28"/>
            <w:u w:val="single"/>
          </w:rPr>
          <w:t>the Power Coalition for Equity and Justice is mobilizing</w:t>
        </w:r>
      </w:hyperlink>
      <w:r>
        <w:rPr>
          <w:rFonts w:ascii="Times New Roman" w:eastAsia="Times New Roman" w:hAnsi="Times New Roman" w:cs="Times New Roman"/>
          <w:color w:val="0A0A0A"/>
          <w:sz w:val="28"/>
          <w:szCs w:val="28"/>
        </w:rPr>
        <w:t xml:space="preserve"> to undo what a spokesperson for the group calls “yet another tool of white supremacy” and an example of the “plantation mentality’s” manifestation in state politics: state preemption of local minimum wage increases.</w:t>
      </w:r>
    </w:p>
    <w:p w14:paraId="00000014" w14:textId="77777777" w:rsidR="00077FA4" w:rsidRDefault="00952F20">
      <w:pPr>
        <w:spacing w:after="200" w:line="276" w:lineRule="auto"/>
        <w:rPr>
          <w:rFonts w:ascii="Times New Roman" w:eastAsia="Times New Roman" w:hAnsi="Times New Roman" w:cs="Times New Roman"/>
          <w:b/>
          <w:i/>
          <w:color w:val="0A0A0A"/>
          <w:sz w:val="28"/>
          <w:szCs w:val="28"/>
        </w:rPr>
      </w:pPr>
      <w:r>
        <w:rPr>
          <w:rFonts w:ascii="Times New Roman" w:eastAsia="Times New Roman" w:hAnsi="Times New Roman" w:cs="Times New Roman"/>
          <w:b/>
          <w:i/>
          <w:color w:val="0A0A0A"/>
          <w:sz w:val="28"/>
          <w:szCs w:val="28"/>
        </w:rPr>
        <w:t>Campaign Contributions</w:t>
      </w:r>
    </w:p>
    <w:p w14:paraId="00000015"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Second, Big Tobacco lavished money on federal elections. At the outset of the 1990s, </w:t>
      </w:r>
      <w:hyperlink r:id="rId27">
        <w:r>
          <w:rPr>
            <w:rFonts w:ascii="Times New Roman" w:eastAsia="Times New Roman" w:hAnsi="Times New Roman" w:cs="Times New Roman"/>
            <w:color w:val="880421"/>
            <w:sz w:val="28"/>
            <w:szCs w:val="28"/>
            <w:u w:val="single"/>
          </w:rPr>
          <w:t>the tobacco lobbies contributed more than $70 million</w:t>
        </w:r>
      </w:hyperlink>
      <w:r>
        <w:rPr>
          <w:rFonts w:ascii="Times New Roman" w:eastAsia="Times New Roman" w:hAnsi="Times New Roman" w:cs="Times New Roman"/>
          <w:color w:val="0A0A0A"/>
          <w:sz w:val="28"/>
          <w:szCs w:val="28"/>
        </w:rPr>
        <w:t xml:space="preserve">. Predominantly, Republican candidates have received more than $50 million from the tobacco industry since 1990. In this same time period, the NRA and its biggest corporate members—like McDonald’s, Darden and Yum! Brands—combined to spend more than $60 million in disclosed federal contributions. </w:t>
      </w:r>
      <w:hyperlink r:id="rId28">
        <w:r>
          <w:rPr>
            <w:rFonts w:ascii="Times New Roman" w:eastAsia="Times New Roman" w:hAnsi="Times New Roman" w:cs="Times New Roman"/>
            <w:color w:val="880421"/>
            <w:sz w:val="28"/>
            <w:szCs w:val="28"/>
            <w:u w:val="single"/>
          </w:rPr>
          <w:t>An analysis by Corporate Accountability</w:t>
        </w:r>
      </w:hyperlink>
      <w:r>
        <w:rPr>
          <w:rFonts w:ascii="Times New Roman" w:eastAsia="Times New Roman" w:hAnsi="Times New Roman" w:cs="Times New Roman"/>
          <w:color w:val="0A0A0A"/>
          <w:sz w:val="28"/>
          <w:szCs w:val="28"/>
        </w:rPr>
        <w:t xml:space="preserve">, in partnership with </w:t>
      </w:r>
      <w:hyperlink r:id="rId29">
        <w:r>
          <w:rPr>
            <w:rFonts w:ascii="Times New Roman" w:eastAsia="Times New Roman" w:hAnsi="Times New Roman" w:cs="Times New Roman"/>
            <w:color w:val="880421"/>
            <w:sz w:val="28"/>
            <w:szCs w:val="28"/>
            <w:u w:val="single"/>
          </w:rPr>
          <w:t>Restaurant Opportunities Center United</w:t>
        </w:r>
      </w:hyperlink>
      <w:r>
        <w:rPr>
          <w:rFonts w:ascii="Times New Roman" w:eastAsia="Times New Roman" w:hAnsi="Times New Roman" w:cs="Times New Roman"/>
          <w:color w:val="0A0A0A"/>
          <w:sz w:val="28"/>
          <w:szCs w:val="28"/>
        </w:rPr>
        <w:t>,</w:t>
      </w:r>
      <w:hyperlink r:id="rId30">
        <w:r>
          <w:rPr>
            <w:rFonts w:ascii="Times New Roman" w:eastAsia="Times New Roman" w:hAnsi="Times New Roman" w:cs="Times New Roman"/>
            <w:color w:val="0A0A0A"/>
            <w:sz w:val="28"/>
            <w:szCs w:val="28"/>
          </w:rPr>
          <w:t xml:space="preserve"> </w:t>
        </w:r>
      </w:hyperlink>
      <w:hyperlink r:id="rId31">
        <w:r>
          <w:rPr>
            <w:rFonts w:ascii="Times New Roman" w:eastAsia="Times New Roman" w:hAnsi="Times New Roman" w:cs="Times New Roman"/>
            <w:color w:val="880421"/>
            <w:sz w:val="28"/>
            <w:szCs w:val="28"/>
            <w:u w:val="single"/>
          </w:rPr>
          <w:t>Food Chain Workers Alliance</w:t>
        </w:r>
      </w:hyperlink>
      <w:r>
        <w:rPr>
          <w:rFonts w:ascii="Times New Roman" w:eastAsia="Times New Roman" w:hAnsi="Times New Roman" w:cs="Times New Roman"/>
          <w:color w:val="0A0A0A"/>
          <w:sz w:val="28"/>
          <w:szCs w:val="28"/>
        </w:rPr>
        <w:t xml:space="preserve">, </w:t>
      </w:r>
      <w:hyperlink r:id="rId32">
        <w:r>
          <w:rPr>
            <w:rFonts w:ascii="Times New Roman" w:eastAsia="Times New Roman" w:hAnsi="Times New Roman" w:cs="Times New Roman"/>
            <w:color w:val="880421"/>
            <w:sz w:val="28"/>
            <w:szCs w:val="28"/>
            <w:u w:val="single"/>
          </w:rPr>
          <w:t>Berkeley Media Studies Group</w:t>
        </w:r>
      </w:hyperlink>
      <w:r>
        <w:rPr>
          <w:rFonts w:ascii="Times New Roman" w:eastAsia="Times New Roman" w:hAnsi="Times New Roman" w:cs="Times New Roman"/>
          <w:color w:val="0A0A0A"/>
          <w:sz w:val="28"/>
          <w:szCs w:val="28"/>
        </w:rPr>
        <w:t xml:space="preserve"> and </w:t>
      </w:r>
      <w:hyperlink r:id="rId33">
        <w:r>
          <w:rPr>
            <w:rFonts w:ascii="Times New Roman" w:eastAsia="Times New Roman" w:hAnsi="Times New Roman" w:cs="Times New Roman"/>
            <w:color w:val="880421"/>
            <w:sz w:val="28"/>
            <w:szCs w:val="28"/>
            <w:u w:val="single"/>
          </w:rPr>
          <w:t>the Real Food Media Project</w:t>
        </w:r>
      </w:hyperlink>
      <w:r>
        <w:rPr>
          <w:rFonts w:ascii="Times New Roman" w:eastAsia="Times New Roman" w:hAnsi="Times New Roman" w:cs="Times New Roman"/>
          <w:color w:val="0A0A0A"/>
          <w:sz w:val="28"/>
          <w:szCs w:val="28"/>
        </w:rPr>
        <w:t xml:space="preserve">, found a disturbing correspondence between NRA campaign contributions and the </w:t>
      </w:r>
      <w:r>
        <w:rPr>
          <w:rFonts w:ascii="Times New Roman" w:eastAsia="Times New Roman" w:hAnsi="Times New Roman" w:cs="Times New Roman"/>
          <w:color w:val="0A0A0A"/>
          <w:sz w:val="28"/>
          <w:szCs w:val="28"/>
        </w:rPr>
        <w:lastRenderedPageBreak/>
        <w:t>propensity of those receiving them—like Senate Majority Leader Mitch McConnell and House Minority Leader Kevin McCarthy—to oppose progressive policies such improvements to food labeling, stronger worker protections and minimum wage increases.</w:t>
      </w:r>
    </w:p>
    <w:p w14:paraId="00000016" w14:textId="77777777" w:rsidR="00077FA4" w:rsidRDefault="00952F20">
      <w:pPr>
        <w:spacing w:after="200" w:line="276" w:lineRule="auto"/>
        <w:rPr>
          <w:rFonts w:ascii="Times New Roman" w:eastAsia="Times New Roman" w:hAnsi="Times New Roman" w:cs="Times New Roman"/>
          <w:b/>
          <w:i/>
          <w:color w:val="0A0A0A"/>
          <w:sz w:val="28"/>
          <w:szCs w:val="28"/>
        </w:rPr>
      </w:pPr>
      <w:r>
        <w:rPr>
          <w:rFonts w:ascii="Times New Roman" w:eastAsia="Times New Roman" w:hAnsi="Times New Roman" w:cs="Times New Roman"/>
          <w:b/>
          <w:i/>
          <w:color w:val="0A0A0A"/>
          <w:sz w:val="28"/>
          <w:szCs w:val="28"/>
        </w:rPr>
        <w:t>Local Preemption</w:t>
      </w:r>
    </w:p>
    <w:p w14:paraId="00000017"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Third, the industry obscured preemption through legislative channels. As if making an end-run around local democracy wasn’t bad enough, Big Tobacco slipped preemption into a wide array of bills—from property taxes to pesticides. In 2006, the industry spent $100 million to fight tobacco control measures and funded an Ohio measure (</w:t>
      </w:r>
      <w:hyperlink r:id="rId34">
        <w:r>
          <w:rPr>
            <w:rFonts w:ascii="Times New Roman" w:eastAsia="Times New Roman" w:hAnsi="Times New Roman" w:cs="Times New Roman"/>
            <w:color w:val="880421"/>
            <w:sz w:val="28"/>
            <w:szCs w:val="28"/>
            <w:u w:val="single"/>
          </w:rPr>
          <w:t>“Smoke Less Ohio”</w:t>
        </w:r>
      </w:hyperlink>
      <w:r>
        <w:rPr>
          <w:rFonts w:ascii="Times New Roman" w:eastAsia="Times New Roman" w:hAnsi="Times New Roman" w:cs="Times New Roman"/>
          <w:color w:val="0A0A0A"/>
          <w:sz w:val="28"/>
          <w:szCs w:val="28"/>
        </w:rPr>
        <w:t xml:space="preserve">) that would have rolled back local smoke-free laws and prevented their adoption in the future. Twelve years later, Big Soda </w:t>
      </w:r>
      <w:hyperlink r:id="rId35">
        <w:r>
          <w:rPr>
            <w:rFonts w:ascii="Times New Roman" w:eastAsia="Times New Roman" w:hAnsi="Times New Roman" w:cs="Times New Roman"/>
            <w:color w:val="880421"/>
            <w:sz w:val="28"/>
            <w:szCs w:val="28"/>
            <w:u w:val="single"/>
          </w:rPr>
          <w:t>spent millions</w:t>
        </w:r>
      </w:hyperlink>
      <w:r>
        <w:rPr>
          <w:rFonts w:ascii="Times New Roman" w:eastAsia="Times New Roman" w:hAnsi="Times New Roman" w:cs="Times New Roman"/>
          <w:color w:val="0A0A0A"/>
          <w:sz w:val="28"/>
          <w:szCs w:val="28"/>
        </w:rPr>
        <w:t xml:space="preserve"> on a California ballot initiative that would have made it harder not just to impose soda taxes, but to increase any taxes at all. In exchange for dropping the ballot initiative, lawmakers and the governor agreed to prohibit new taxes on any grocery items—including sugar-sweetened beverages—until January 1, 2031, as part of a larger tax overhaul. According to state Sen. Scott Wiener (D-San Francisco), the industry basically aimed “a nuclear weapon at government in California and [said], ‘If you don’t do what we want, we’re going to pull the trigger and you’re not going to be able to fund basic government services.’”</w:t>
      </w:r>
    </w:p>
    <w:p w14:paraId="00000018" w14:textId="77777777" w:rsidR="00077FA4" w:rsidRDefault="00952F20">
      <w:pPr>
        <w:spacing w:after="200" w:line="276" w:lineRule="auto"/>
        <w:rPr>
          <w:rFonts w:ascii="Times New Roman" w:eastAsia="Times New Roman" w:hAnsi="Times New Roman" w:cs="Times New Roman"/>
          <w:b/>
          <w:i/>
          <w:color w:val="0A0A0A"/>
          <w:sz w:val="28"/>
          <w:szCs w:val="28"/>
        </w:rPr>
      </w:pPr>
      <w:r>
        <w:rPr>
          <w:rFonts w:ascii="Times New Roman" w:eastAsia="Times New Roman" w:hAnsi="Times New Roman" w:cs="Times New Roman"/>
          <w:b/>
          <w:i/>
          <w:color w:val="0A0A0A"/>
          <w:sz w:val="28"/>
          <w:szCs w:val="28"/>
        </w:rPr>
        <w:t>Legal Threats</w:t>
      </w:r>
    </w:p>
    <w:p w14:paraId="00000019"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Fourth, they issued legal threats. Despite being ineffective at overturning laws, the industry has pursued dozens of cases as a deterrent to the passage of new laws. In Michigan, Big Tobacco sponsored a Michigan Restaurant Association and Michigan Chamber of Commerce </w:t>
      </w:r>
      <w:hyperlink r:id="rId36">
        <w:r>
          <w:rPr>
            <w:rFonts w:ascii="Times New Roman" w:eastAsia="Times New Roman" w:hAnsi="Times New Roman" w:cs="Times New Roman"/>
            <w:color w:val="880421"/>
            <w:sz w:val="28"/>
            <w:szCs w:val="28"/>
            <w:u w:val="single"/>
          </w:rPr>
          <w:t>lawsuit attempting to strike down a local smoke-free policy in 1998</w:t>
        </w:r>
      </w:hyperlink>
      <w:r>
        <w:rPr>
          <w:rFonts w:ascii="Times New Roman" w:eastAsia="Times New Roman" w:hAnsi="Times New Roman" w:cs="Times New Roman"/>
          <w:color w:val="0A0A0A"/>
          <w:sz w:val="28"/>
          <w:szCs w:val="28"/>
        </w:rPr>
        <w:t xml:space="preserve">. The lawsuit tied up a </w:t>
      </w:r>
      <w:hyperlink r:id="rId37">
        <w:r>
          <w:rPr>
            <w:rFonts w:ascii="Times New Roman" w:eastAsia="Times New Roman" w:hAnsi="Times New Roman" w:cs="Times New Roman"/>
            <w:color w:val="880421"/>
            <w:sz w:val="28"/>
            <w:szCs w:val="28"/>
            <w:u w:val="single"/>
          </w:rPr>
          <w:t>22,000-person town</w:t>
        </w:r>
      </w:hyperlink>
      <w:r>
        <w:rPr>
          <w:rFonts w:ascii="Times New Roman" w:eastAsia="Times New Roman" w:hAnsi="Times New Roman" w:cs="Times New Roman"/>
          <w:color w:val="0A0A0A"/>
          <w:sz w:val="28"/>
          <w:szCs w:val="28"/>
        </w:rPr>
        <w:t xml:space="preserve"> in legal proceedings for about five years, despite only succeeding in repealing a small part of the law. More than a decade later, in but one example of the food industry following the same script, </w:t>
      </w:r>
      <w:hyperlink r:id="rId38" w:anchor="v=onepage&amp;q=%22threatened%20litigation%22%20and%20mcdonalds%20and%20%22san%20francisco%22%20and%20%22happy%20meals%22&amp;f=false">
        <w:r>
          <w:rPr>
            <w:rFonts w:ascii="Times New Roman" w:eastAsia="Times New Roman" w:hAnsi="Times New Roman" w:cs="Times New Roman"/>
            <w:color w:val="880421"/>
            <w:sz w:val="28"/>
            <w:szCs w:val="28"/>
            <w:u w:val="single"/>
          </w:rPr>
          <w:t>McDonald’s threatened a lawsuit against San Francisco</w:t>
        </w:r>
      </w:hyperlink>
      <w:r>
        <w:rPr>
          <w:rFonts w:ascii="Times New Roman" w:eastAsia="Times New Roman" w:hAnsi="Times New Roman" w:cs="Times New Roman"/>
          <w:color w:val="0A0A0A"/>
          <w:sz w:val="28"/>
          <w:szCs w:val="28"/>
        </w:rPr>
        <w:t xml:space="preserve"> if it enacted a prohibition on toys in kids’ meals that didn’t meet basic nutritional standards.</w:t>
      </w:r>
    </w:p>
    <w:p w14:paraId="0000001A"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lastRenderedPageBreak/>
        <w:t xml:space="preserve">But after years of being on the receiving end of the industry’s tactics, the public health community has regrouped. They generated media coverage that exposed Big Tobacco’s chicanery in advancing state preemption policies and—instead of putting out fires once preemption had been introduced or adopted—advocates implemented proactive lobbying approaches. One of the earliest examples is from 1996, when the </w:t>
      </w:r>
      <w:hyperlink r:id="rId39">
        <w:r>
          <w:rPr>
            <w:rFonts w:ascii="Times New Roman" w:eastAsia="Times New Roman" w:hAnsi="Times New Roman" w:cs="Times New Roman"/>
            <w:color w:val="880421"/>
            <w:sz w:val="28"/>
            <w:szCs w:val="28"/>
            <w:u w:val="single"/>
          </w:rPr>
          <w:t>Indiana Campaign for Tobacco-Free Communities</w:t>
        </w:r>
      </w:hyperlink>
      <w:r>
        <w:rPr>
          <w:rFonts w:ascii="Times New Roman" w:eastAsia="Times New Roman" w:hAnsi="Times New Roman" w:cs="Times New Roman"/>
          <w:color w:val="0A0A0A"/>
          <w:sz w:val="28"/>
          <w:szCs w:val="28"/>
        </w:rPr>
        <w:t xml:space="preserve"> helped compel then-Gov. Evan Bayh to veto a law preempting “virtually non-existent” local tobacco control laws.</w:t>
      </w:r>
    </w:p>
    <w:p w14:paraId="0000001B"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In the same year as the veto, a national preemption task force was formed by leading health organizations. It attracted prominent political figures like Hillary Clinton and Sen. Henry Waxman (D-California), and mobilized grassroots movements and more coherent counterstrategies. By 2000, the Centers for Disease Control and Prevention </w:t>
      </w:r>
      <w:hyperlink r:id="rId40">
        <w:r>
          <w:rPr>
            <w:rFonts w:ascii="Times New Roman" w:eastAsia="Times New Roman" w:hAnsi="Times New Roman" w:cs="Times New Roman"/>
            <w:color w:val="880421"/>
            <w:sz w:val="28"/>
            <w:szCs w:val="28"/>
            <w:u w:val="single"/>
          </w:rPr>
          <w:t>advocated for the elimination of ceiling preemption laws</w:t>
        </w:r>
      </w:hyperlink>
      <w:r>
        <w:rPr>
          <w:rFonts w:ascii="Times New Roman" w:eastAsia="Times New Roman" w:hAnsi="Times New Roman" w:cs="Times New Roman"/>
          <w:color w:val="0A0A0A"/>
          <w:sz w:val="28"/>
          <w:szCs w:val="28"/>
        </w:rPr>
        <w:t>.</w:t>
      </w:r>
    </w:p>
    <w:p w14:paraId="0000001C"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The public health movement also helped expand legal networks. From coast to coast, </w:t>
      </w:r>
      <w:hyperlink r:id="rId41">
        <w:r>
          <w:rPr>
            <w:rFonts w:ascii="Times New Roman" w:eastAsia="Times New Roman" w:hAnsi="Times New Roman" w:cs="Times New Roman"/>
            <w:color w:val="880421"/>
            <w:sz w:val="28"/>
            <w:szCs w:val="28"/>
            <w:u w:val="single"/>
          </w:rPr>
          <w:t>states helped fund legal resource centers</w:t>
        </w:r>
      </w:hyperlink>
      <w:r>
        <w:rPr>
          <w:rFonts w:ascii="Times New Roman" w:eastAsia="Times New Roman" w:hAnsi="Times New Roman" w:cs="Times New Roman"/>
          <w:color w:val="0A0A0A"/>
          <w:sz w:val="28"/>
          <w:szCs w:val="28"/>
        </w:rPr>
        <w:t xml:space="preserve"> that worked with departments of health and became a resource in drafting tobacco control laws that could weather industry challenges.</w:t>
      </w:r>
    </w:p>
    <w:p w14:paraId="0000001D" w14:textId="77777777" w:rsidR="00077FA4" w:rsidRDefault="00952F20">
      <w:pPr>
        <w:spacing w:after="200" w:line="276" w:lineRule="auto"/>
        <w:rPr>
          <w:rFonts w:ascii="Times New Roman" w:eastAsia="Times New Roman" w:hAnsi="Times New Roman" w:cs="Times New Roman"/>
          <w:color w:val="0A0A0A"/>
          <w:sz w:val="28"/>
          <w:szCs w:val="28"/>
        </w:rPr>
      </w:pPr>
      <w:r>
        <w:rPr>
          <w:rFonts w:ascii="Times New Roman" w:eastAsia="Times New Roman" w:hAnsi="Times New Roman" w:cs="Times New Roman"/>
          <w:color w:val="0A0A0A"/>
          <w:sz w:val="28"/>
          <w:szCs w:val="28"/>
        </w:rPr>
        <w:t xml:space="preserve">But history is repeating itself. For example, e-cigarette maker Juul has worked tirelessly to </w:t>
      </w:r>
      <w:hyperlink r:id="rId42">
        <w:r>
          <w:rPr>
            <w:rFonts w:ascii="Times New Roman" w:eastAsia="Times New Roman" w:hAnsi="Times New Roman" w:cs="Times New Roman"/>
            <w:color w:val="880421"/>
            <w:sz w:val="28"/>
            <w:szCs w:val="28"/>
            <w:u w:val="single"/>
          </w:rPr>
          <w:t>ensure state increases in the minimum age to purchase tobacco products be paired with preemptions</w:t>
        </w:r>
      </w:hyperlink>
      <w:r>
        <w:rPr>
          <w:rFonts w:ascii="Times New Roman" w:eastAsia="Times New Roman" w:hAnsi="Times New Roman" w:cs="Times New Roman"/>
          <w:color w:val="0A0A0A"/>
          <w:sz w:val="28"/>
          <w:szCs w:val="28"/>
        </w:rPr>
        <w:t xml:space="preserve"> on local governments taking any further actions to regulate vaping (like flavor bans). And within just the last two months, business groups have </w:t>
      </w:r>
      <w:hyperlink r:id="rId43">
        <w:r>
          <w:rPr>
            <w:rFonts w:ascii="Times New Roman" w:eastAsia="Times New Roman" w:hAnsi="Times New Roman" w:cs="Times New Roman"/>
            <w:color w:val="880421"/>
            <w:sz w:val="28"/>
            <w:szCs w:val="28"/>
            <w:u w:val="single"/>
          </w:rPr>
          <w:t>filed lawsuits against Los Angeles County, Palmdale, California</w:t>
        </w:r>
      </w:hyperlink>
      <w:r>
        <w:rPr>
          <w:rFonts w:ascii="Times New Roman" w:eastAsia="Times New Roman" w:hAnsi="Times New Roman" w:cs="Times New Roman"/>
          <w:color w:val="0A0A0A"/>
          <w:sz w:val="28"/>
          <w:szCs w:val="28"/>
        </w:rPr>
        <w:t xml:space="preserve">, and </w:t>
      </w:r>
      <w:hyperlink r:id="rId44">
        <w:r>
          <w:rPr>
            <w:rFonts w:ascii="Times New Roman" w:eastAsia="Times New Roman" w:hAnsi="Times New Roman" w:cs="Times New Roman"/>
            <w:color w:val="880421"/>
            <w:sz w:val="28"/>
            <w:szCs w:val="28"/>
            <w:u w:val="single"/>
          </w:rPr>
          <w:t>Edina, Minnesota</w:t>
        </w:r>
      </w:hyperlink>
      <w:r>
        <w:rPr>
          <w:rFonts w:ascii="Times New Roman" w:eastAsia="Times New Roman" w:hAnsi="Times New Roman" w:cs="Times New Roman"/>
          <w:color w:val="0A0A0A"/>
          <w:sz w:val="28"/>
          <w:szCs w:val="28"/>
        </w:rPr>
        <w:t>, seeking to nix local prohibitions on flavored e-cigs, claiming these laws are preempted by federal law. The COVID-19 pandemic that compromises the respiratory health of its victims, is seemingly not causing this destructive industry one bit of pause.</w:t>
      </w:r>
    </w:p>
    <w:p w14:paraId="0000001E" w14:textId="77777777" w:rsidR="00077FA4" w:rsidRDefault="00952F20">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A0A0A"/>
          <w:sz w:val="28"/>
          <w:szCs w:val="28"/>
        </w:rPr>
        <w:t xml:space="preserve">In 2020, it’s critical we assertively </w:t>
      </w:r>
      <w:hyperlink r:id="rId45">
        <w:r>
          <w:rPr>
            <w:rFonts w:ascii="Times New Roman" w:eastAsia="Times New Roman" w:hAnsi="Times New Roman" w:cs="Times New Roman"/>
            <w:color w:val="880421"/>
            <w:sz w:val="28"/>
            <w:szCs w:val="28"/>
            <w:u w:val="single"/>
          </w:rPr>
          <w:t>preempt preemption</w:t>
        </w:r>
      </w:hyperlink>
      <w:r>
        <w:rPr>
          <w:rFonts w:ascii="Times New Roman" w:eastAsia="Times New Roman" w:hAnsi="Times New Roman" w:cs="Times New Roman"/>
          <w:color w:val="0A0A0A"/>
          <w:sz w:val="28"/>
          <w:szCs w:val="28"/>
        </w:rPr>
        <w:t xml:space="preserve">. With no end in sight for the current pandemic, we can scarce afford more industry-driven policies that denigrate public health and deepen already profound health inequities. </w:t>
      </w:r>
      <w:r>
        <w:rPr>
          <w:rFonts w:ascii="Times New Roman" w:eastAsia="Times New Roman" w:hAnsi="Times New Roman" w:cs="Times New Roman"/>
          <w:color w:val="0A0A0A"/>
          <w:sz w:val="28"/>
          <w:szCs w:val="28"/>
        </w:rPr>
        <w:lastRenderedPageBreak/>
        <w:t>There will be no shortage of bills and ballot initiatives up for a vote, intent on supplanting popular democracy with narrow corporate prerogatives. But we have the solutions because we’ve faced this problem before. It’s time to enact them.</w:t>
      </w:r>
    </w:p>
    <w:sectPr w:rsidR="00077FA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A4"/>
    <w:rsid w:val="00077FA4"/>
    <w:rsid w:val="00952F20"/>
    <w:rsid w:val="00A9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A2C97"/>
  <w15:docId w15:val="{5FDFE5AD-C803-D842-9BE6-D57655FA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ncbi.nlm.nih.gov/pubmed/11891365" TargetMode="External"/><Relationship Id="rId18" Type="http://schemas.openxmlformats.org/officeDocument/2006/relationships/hyperlink" Target="https://www.cdc.gov/tobacco/disparities/african-americans/index.htm" TargetMode="External"/><Relationship Id="rId26" Type="http://schemas.openxmlformats.org/officeDocument/2006/relationships/hyperlink" Target="https://www.scalawagmagazine.org/2020/01/new-orleans-labor-rights/" TargetMode="External"/><Relationship Id="rId39" Type="http://schemas.openxmlformats.org/officeDocument/2006/relationships/hyperlink" Target="https://protectlocalcontrol.org/docs/LessonsFromIndiana.pdf" TargetMode="External"/><Relationship Id="rId21" Type="http://schemas.openxmlformats.org/officeDocument/2006/relationships/hyperlink" Target="https://www.theatlantic.com/national/archive/2013/01/brief-history-racist-soft-drinks/318929/" TargetMode="External"/><Relationship Id="rId34" Type="http://schemas.openxmlformats.org/officeDocument/2006/relationships/hyperlink" Target="https://www.fightcancer.org/releases/big-tobacco-fighting-ballot-initiatives-would-protect-public-health" TargetMode="External"/><Relationship Id="rId42" Type="http://schemas.openxmlformats.org/officeDocument/2006/relationships/hyperlink" Target="https://app.box.com/s/kwj5vemdo6gumcs568sfmsgqmq6gr5pb" TargetMode="External"/><Relationship Id="rId47" Type="http://schemas.openxmlformats.org/officeDocument/2006/relationships/theme" Target="theme/theme1.xml"/><Relationship Id="rId7" Type="http://schemas.openxmlformats.org/officeDocument/2006/relationships/hyperlink" Target="https://independentmediainstitute.org/earth-food-life/" TargetMode="External"/><Relationship Id="rId2" Type="http://schemas.openxmlformats.org/officeDocument/2006/relationships/settings" Target="settings.xml"/><Relationship Id="rId16" Type="http://schemas.openxmlformats.org/officeDocument/2006/relationships/hyperlink" Target="https://truthinitiative.org/research-resources/targeted-communities/tobacco-social-justice-issue-low-income-communities" TargetMode="External"/><Relationship Id="rId29" Type="http://schemas.openxmlformats.org/officeDocument/2006/relationships/hyperlink" Target="https://rocunited.org/" TargetMode="External"/><Relationship Id="rId1" Type="http://schemas.openxmlformats.org/officeDocument/2006/relationships/styles" Target="styles.xml"/><Relationship Id="rId6" Type="http://schemas.openxmlformats.org/officeDocument/2006/relationships/hyperlink" Target="https://truthout.org/articles/the-food-industry-puts-profits-over-public-health-using-big-tobaccos-playbook/?eType=EmailBlastContent&amp;eId=6a4f34e7-9b80-4edf-9eaa-58b49dbd8bed" TargetMode="External"/><Relationship Id="rId11" Type="http://schemas.openxmlformats.org/officeDocument/2006/relationships/hyperlink" Target="https://www.ncbi.nlm.nih.gov/pmc/articles/PMC3490543/" TargetMode="External"/><Relationship Id="rId24" Type="http://schemas.openxmlformats.org/officeDocument/2006/relationships/hyperlink" Target="https://www.mprnews.org/story/2020/06/10/supreme-court-upholds-minneapolis-sick-time-ordinance" TargetMode="External"/><Relationship Id="rId32" Type="http://schemas.openxmlformats.org/officeDocument/2006/relationships/hyperlink" Target="https://tinyurl.com/y33fqcvm" TargetMode="External"/><Relationship Id="rId37" Type="http://schemas.openxmlformats.org/officeDocument/2006/relationships/hyperlink" Target="https://tobaccocontrol.bmj.com/content/13/1/65" TargetMode="External"/><Relationship Id="rId40" Type="http://schemas.openxmlformats.org/officeDocument/2006/relationships/hyperlink" Target="https://www.ncbi.nlm.nih.gov/pubmed/22654921" TargetMode="External"/><Relationship Id="rId45" Type="http://schemas.openxmlformats.org/officeDocument/2006/relationships/hyperlink" Target="https://www.supportdemocracy.org/the-latest" TargetMode="External"/><Relationship Id="rId5" Type="http://schemas.openxmlformats.org/officeDocument/2006/relationships/hyperlink" Target="https://www.corporateaccountability.org/" TargetMode="External"/><Relationship Id="rId15" Type="http://schemas.openxmlformats.org/officeDocument/2006/relationships/hyperlink" Target="https://www.protectlocalcontrol.org/docs/PreemptionTimeline.pdf" TargetMode="External"/><Relationship Id="rId23" Type="http://schemas.openxmlformats.org/officeDocument/2006/relationships/hyperlink" Target="https://www.mprnews.org/story/2020/06/10/supreme-court-upholds-minneapolis-sick-time-ordinance" TargetMode="External"/><Relationship Id="rId28" Type="http://schemas.openxmlformats.org/officeDocument/2006/relationships/hyperlink" Target="https://www.corporateaccountability.org/wp-content/uploads/2017/04/updated_scorecard_rev2_FINAL.pdf" TargetMode="External"/><Relationship Id="rId36" Type="http://schemas.openxmlformats.org/officeDocument/2006/relationships/hyperlink" Target="https://tobaccocontrol.bmj.com/content/13/1/65" TargetMode="External"/><Relationship Id="rId10" Type="http://schemas.openxmlformats.org/officeDocument/2006/relationships/hyperlink" Target="https://www.ncbi.nlm.nih.gov/pubmed/7609213" TargetMode="External"/><Relationship Id="rId19" Type="http://schemas.openxmlformats.org/officeDocument/2006/relationships/hyperlink" Target="https://www.ajpmonline.org/article/S0749-3797(18)32160-3/abstract" TargetMode="External"/><Relationship Id="rId31" Type="http://schemas.openxmlformats.org/officeDocument/2006/relationships/hyperlink" Target="http://foodchainworkers.org/" TargetMode="External"/><Relationship Id="rId44" Type="http://schemas.openxmlformats.org/officeDocument/2006/relationships/hyperlink" Target="https://www.hometownsource.com/sun_current/community/edina-bans-sale-of-flavored-tobacco-products-is-promptly-sued/article_34ee86b8-b268-11ea-af28-c76a7bf122b0.html" TargetMode="External"/><Relationship Id="rId4" Type="http://schemas.openxmlformats.org/officeDocument/2006/relationships/hyperlink" Target="https://www.corporateaccountability.org/staff/gigi-kellett/" TargetMode="External"/><Relationship Id="rId9" Type="http://schemas.openxmlformats.org/officeDocument/2006/relationships/hyperlink" Target="https://www.ncbi.nlm.nih.gov/books/NBK219563/" TargetMode="External"/><Relationship Id="rId14" Type="http://schemas.openxmlformats.org/officeDocument/2006/relationships/hyperlink" Target="https://ajph.aphapublications.org/doi/10.2105/AJPH.2019.305473" TargetMode="External"/><Relationship Id="rId22" Type="http://schemas.openxmlformats.org/officeDocument/2006/relationships/hyperlink" Target="https://www.jdsupra.com/legalnews/silence-from-on-high-the-uncertain-20379/" TargetMode="External"/><Relationship Id="rId27" Type="http://schemas.openxmlformats.org/officeDocument/2006/relationships/hyperlink" Target="https://www.opensecrets.org/industries/indus.php?ind=A02" TargetMode="External"/><Relationship Id="rId30" Type="http://schemas.openxmlformats.org/officeDocument/2006/relationships/hyperlink" Target="http://foodchainworkers.org/" TargetMode="External"/><Relationship Id="rId35" Type="http://schemas.openxmlformats.org/officeDocument/2006/relationships/hyperlink" Target="https://www.motherjones.com/food/2018/07/how-big-soda-strong-armed-california-into-banning-soda-taxes/" TargetMode="External"/><Relationship Id="rId43" Type="http://schemas.openxmlformats.org/officeDocument/2006/relationships/hyperlink" Target="https://www.law360.com/articles/1280894" TargetMode="External"/><Relationship Id="rId8" Type="http://schemas.openxmlformats.org/officeDocument/2006/relationships/hyperlink" Target="https://drive.google.com/drive/folders/1PRiCfDvYa3S80pjKyyCI0kfGZJNVspEW?usp=sharing" TargetMode="External"/><Relationship Id="rId3" Type="http://schemas.openxmlformats.org/officeDocument/2006/relationships/webSettings" Target="webSettings.xml"/><Relationship Id="rId12" Type="http://schemas.openxmlformats.org/officeDocument/2006/relationships/hyperlink" Target="https://ajph.aphapublications.org/doi/10.2105/AJPH.2019.305473" TargetMode="External"/><Relationship Id="rId17" Type="http://schemas.openxmlformats.org/officeDocument/2006/relationships/hyperlink" Target="https://smokingcessationleadership.ucsf.edu/raceethnicity" TargetMode="External"/><Relationship Id="rId25" Type="http://schemas.openxmlformats.org/officeDocument/2006/relationships/hyperlink" Target="https://www.mprnews.org/story/2020/06/10/supreme-court-upholds-minneapolis-sick-time-ordinance" TargetMode="External"/><Relationship Id="rId33" Type="http://schemas.openxmlformats.org/officeDocument/2006/relationships/hyperlink" Target="https://realfoodmedia.org/" TargetMode="External"/><Relationship Id="rId38" Type="http://schemas.openxmlformats.org/officeDocument/2006/relationships/hyperlink" Target="https://books.google.com/books?id=HZ_NDwAAQBAJ&amp;pg=PA139&amp;lpg=PA139&amp;dq=%22threatened+litigation%22+and+mcdonalds+and+%22san+francisco%22+and+%22happy+meals%22&amp;source=bl&amp;ots=7epwDAE4mm&amp;sig=ACfU3U3uka7MGBW7imj9mdB5U_5PuEHycg&amp;hl=en&amp;sa=X&amp;ved=2ahUKEwigzo67nrzqAhXLIDQIHVAdB80Q6AEwAHoECAsQAQ" TargetMode="External"/><Relationship Id="rId46" Type="http://schemas.openxmlformats.org/officeDocument/2006/relationships/fontTable" Target="fontTable.xml"/><Relationship Id="rId20" Type="http://schemas.openxmlformats.org/officeDocument/2006/relationships/hyperlink" Target="https://tinyurl.com/y4loxv3t" TargetMode="External"/><Relationship Id="rId41" Type="http://schemas.openxmlformats.org/officeDocument/2006/relationships/hyperlink" Target="https://publichealthlawcenter.org/sites/default/files/resources/tclc-legal-update-summer-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2131</Words>
  <Characters>12147</Characters>
  <Application>Microsoft Office Word</Application>
  <DocSecurity>0</DocSecurity>
  <Lines>101</Lines>
  <Paragraphs>28</Paragraphs>
  <ScaleCrop>false</ScaleCrop>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2020-07-27T23:28:00Z</dcterms:created>
  <dcterms:modified xsi:type="dcterms:W3CDTF">2020-07-27T23:31:00Z</dcterms:modified>
</cp:coreProperties>
</file>